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791845</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757555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340" w:lineRule="exact"/>
        <w:rPr>
          <w:sz w:val="24"/>
          <w:szCs w:val="24"/>
          <w:color w:val="auto"/>
        </w:rPr>
      </w:pPr>
    </w:p>
    <w:p>
      <w:pPr>
        <w:jc w:val="center"/>
        <w:ind w:right="-846"/>
        <w:spacing w:after="0"/>
        <w:rPr>
          <w:sz w:val="20"/>
          <w:szCs w:val="20"/>
          <w:color w:val="auto"/>
        </w:rPr>
      </w:pPr>
      <w:r>
        <w:rPr>
          <w:rFonts w:ascii="Arial" w:cs="Arial" w:eastAsia="Arial" w:hAnsi="Arial"/>
          <w:sz w:val="32"/>
          <w:szCs w:val="32"/>
          <w:color w:val="010202"/>
        </w:rPr>
        <w:t>UNITED STATES</w:t>
      </w:r>
    </w:p>
    <w:p>
      <w:pPr>
        <w:spacing w:after="0" w:line="10" w:lineRule="exact"/>
        <w:rPr>
          <w:sz w:val="24"/>
          <w:szCs w:val="24"/>
          <w:color w:val="auto"/>
        </w:rPr>
      </w:pPr>
    </w:p>
    <w:p>
      <w:pPr>
        <w:jc w:val="center"/>
        <w:ind w:right="-846"/>
        <w:spacing w:after="0"/>
        <w:rPr>
          <w:sz w:val="20"/>
          <w:szCs w:val="20"/>
          <w:color w:val="auto"/>
        </w:rPr>
      </w:pPr>
      <w:r>
        <w:rPr>
          <w:rFonts w:ascii="Arial" w:cs="Arial" w:eastAsia="Arial" w:hAnsi="Arial"/>
          <w:sz w:val="32"/>
          <w:szCs w:val="32"/>
          <w:color w:val="010202"/>
        </w:rPr>
        <w:t>SECURITIES AND EXCHANGE COMMISSION</w:t>
      </w:r>
    </w:p>
    <w:p>
      <w:pPr>
        <w:spacing w:after="0" w:line="3" w:lineRule="exact"/>
        <w:rPr>
          <w:sz w:val="24"/>
          <w:szCs w:val="24"/>
          <w:color w:val="auto"/>
        </w:rPr>
      </w:pPr>
    </w:p>
    <w:p>
      <w:pPr>
        <w:ind w:left="4267"/>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20" w:lineRule="exact"/>
        <w:rPr>
          <w:sz w:val="24"/>
          <w:szCs w:val="24"/>
          <w:color w:val="auto"/>
        </w:rPr>
      </w:pPr>
    </w:p>
    <w:p>
      <w:pPr>
        <w:ind w:left="3847"/>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03" w:lineRule="exact"/>
        <w:rPr>
          <w:sz w:val="24"/>
          <w:szCs w:val="24"/>
          <w:color w:val="auto"/>
        </w:rPr>
      </w:pPr>
    </w:p>
    <w:p>
      <w:pPr>
        <w:ind w:left="4627"/>
        <w:spacing w:after="0"/>
        <w:rPr>
          <w:sz w:val="20"/>
          <w:szCs w:val="20"/>
          <w:color w:val="auto"/>
        </w:rPr>
      </w:pPr>
      <w:r>
        <w:rPr>
          <w:rFonts w:ascii="Arial" w:cs="Arial" w:eastAsia="Arial" w:hAnsi="Arial"/>
          <w:sz w:val="32"/>
          <w:szCs w:val="32"/>
          <w:color w:val="auto"/>
        </w:rPr>
        <w:t>Form 11-K</w:t>
      </w:r>
    </w:p>
    <w:p>
      <w:pPr>
        <w:spacing w:after="0" w:line="199" w:lineRule="exact"/>
        <w:rPr>
          <w:sz w:val="24"/>
          <w:szCs w:val="24"/>
          <w:color w:val="auto"/>
        </w:rPr>
      </w:pPr>
    </w:p>
    <w:p>
      <w:pPr>
        <w:ind w:left="3847"/>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386" w:lineRule="exact"/>
        <w:rPr>
          <w:sz w:val="24"/>
          <w:szCs w:val="24"/>
          <w:color w:val="auto"/>
        </w:rPr>
      </w:pPr>
    </w:p>
    <w:p>
      <w:pPr>
        <w:ind w:left="1467" w:hanging="1332"/>
        <w:spacing w:after="0"/>
        <w:tabs>
          <w:tab w:leader="none" w:pos="1467"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3487"/>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00" w:lineRule="exact"/>
        <w:rPr>
          <w:sz w:val="24"/>
          <w:szCs w:val="24"/>
          <w:color w:val="auto"/>
        </w:rPr>
      </w:pPr>
    </w:p>
    <w:p>
      <w:pPr>
        <w:spacing w:after="0" w:line="349" w:lineRule="exact"/>
        <w:rPr>
          <w:sz w:val="24"/>
          <w:szCs w:val="24"/>
          <w:color w:val="auto"/>
        </w:rPr>
      </w:pPr>
    </w:p>
    <w:p>
      <w:pPr>
        <w:ind w:left="1287" w:hanging="1287"/>
        <w:spacing w:after="0"/>
        <w:tabs>
          <w:tab w:leader="none" w:pos="1287"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15(d) OF THE SECURITIES EXCHANGE ACT OF 1934</w:t>
      </w:r>
    </w:p>
    <w:p>
      <w:pPr>
        <w:spacing w:after="0" w:line="200" w:lineRule="exact"/>
        <w:rPr>
          <w:sz w:val="24"/>
          <w:szCs w:val="24"/>
          <w:color w:val="auto"/>
        </w:rPr>
      </w:pPr>
    </w:p>
    <w:p>
      <w:pPr>
        <w:spacing w:after="0" w:line="380" w:lineRule="exact"/>
        <w:rPr>
          <w:sz w:val="24"/>
          <w:szCs w:val="24"/>
          <w:color w:val="auto"/>
        </w:rPr>
      </w:pPr>
    </w:p>
    <w:p>
      <w:pPr>
        <w:jc w:val="center"/>
        <w:ind w:right="-846"/>
        <w:spacing w:after="0"/>
        <w:rPr>
          <w:sz w:val="20"/>
          <w:szCs w:val="20"/>
          <w:color w:val="auto"/>
        </w:rPr>
      </w:pPr>
      <w:r>
        <w:rPr>
          <w:rFonts w:ascii="Arial" w:cs="Arial" w:eastAsia="Arial" w:hAnsi="Arial"/>
          <w:sz w:val="18"/>
          <w:szCs w:val="18"/>
          <w:b w:val="1"/>
          <w:bCs w:val="1"/>
          <w:color w:val="010202"/>
        </w:rPr>
        <w:t>For the transition period from to</w:t>
      </w:r>
    </w:p>
    <w:p>
      <w:pPr>
        <w:spacing w:after="0" w:line="198" w:lineRule="exact"/>
        <w:rPr>
          <w:sz w:val="24"/>
          <w:szCs w:val="24"/>
          <w:color w:val="auto"/>
        </w:rPr>
      </w:pPr>
    </w:p>
    <w:p>
      <w:pPr>
        <w:jc w:val="center"/>
        <w:ind w:right="-846"/>
        <w:spacing w:after="0"/>
        <w:rPr>
          <w:sz w:val="20"/>
          <w:szCs w:val="20"/>
          <w:color w:val="auto"/>
        </w:rPr>
      </w:pPr>
      <w:r>
        <w:rPr>
          <w:rFonts w:ascii="Arial" w:cs="Arial" w:eastAsia="Arial" w:hAnsi="Arial"/>
          <w:sz w:val="18"/>
          <w:szCs w:val="18"/>
          <w:b w:val="1"/>
          <w:bCs w:val="1"/>
          <w:color w:val="010202"/>
        </w:rPr>
        <w:t>Commission file number: 001-35832</w:t>
      </w:r>
    </w:p>
    <w:p>
      <w:pPr>
        <w:spacing w:after="0" w:line="30" w:lineRule="exact"/>
        <w:rPr>
          <w:sz w:val="24"/>
          <w:szCs w:val="24"/>
          <w:color w:val="auto"/>
        </w:rPr>
      </w:pPr>
    </w:p>
    <w:p>
      <w:pPr>
        <w:ind w:left="3847"/>
        <w:spacing w:after="0"/>
        <w:rPr>
          <w:sz w:val="20"/>
          <w:szCs w:val="20"/>
          <w:color w:val="auto"/>
        </w:rPr>
      </w:pPr>
      <w:r>
        <w:rPr>
          <w:rFonts w:ascii="Arial" w:cs="Arial" w:eastAsia="Arial" w:hAnsi="Arial"/>
          <w:sz w:val="11"/>
          <w:szCs w:val="11"/>
          <w:color w:val="auto"/>
        </w:rPr>
        <w:t>_________________________________________________________</w:t>
      </w:r>
    </w:p>
    <w:p>
      <w:pPr>
        <w:sectPr>
          <w:pgSz w:w="11900" w:h="16838" w:orient="portrait"/>
          <w:cols w:equalWidth="0" w:num="1">
            <w:col w:w="9927"/>
          </w:cols>
          <w:pgMar w:left="553" w:top="1440" w:right="1419" w:bottom="1440" w:gutter="0" w:footer="0" w:header="0"/>
        </w:sectPr>
      </w:pPr>
    </w:p>
    <w:p>
      <w:pPr>
        <w:spacing w:after="0" w:line="200" w:lineRule="exact"/>
        <w:rPr>
          <w:sz w:val="24"/>
          <w:szCs w:val="24"/>
          <w:color w:val="auto"/>
        </w:rPr>
      </w:pPr>
    </w:p>
    <w:p>
      <w:pPr>
        <w:spacing w:after="0" w:line="214" w:lineRule="exact"/>
        <w:rPr>
          <w:sz w:val="24"/>
          <w:szCs w:val="24"/>
          <w:color w:val="auto"/>
        </w:rPr>
      </w:pPr>
    </w:p>
    <w:p>
      <w:pPr>
        <w:ind w:left="67"/>
        <w:spacing w:after="0"/>
        <w:rPr>
          <w:sz w:val="20"/>
          <w:szCs w:val="20"/>
          <w:color w:val="auto"/>
        </w:rPr>
      </w:pPr>
      <w:r>
        <w:rPr>
          <w:rFonts w:ascii="Arial" w:cs="Arial" w:eastAsia="Arial" w:hAnsi="Arial"/>
          <w:sz w:val="18"/>
          <w:szCs w:val="18"/>
          <w:color w:val="010202"/>
        </w:rPr>
        <w:t>A.</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010202"/>
        </w:rPr>
        <w:t>Full title of plan and the address of the plan, if different from that of the issuer named below:</w:t>
      </w:r>
    </w:p>
    <w:p>
      <w:pPr>
        <w:spacing w:after="0" w:line="200" w:lineRule="exact"/>
        <w:rPr>
          <w:sz w:val="24"/>
          <w:szCs w:val="24"/>
          <w:color w:val="auto"/>
        </w:rPr>
      </w:pPr>
    </w:p>
    <w:p>
      <w:pPr>
        <w:sectPr>
          <w:pgSz w:w="11900" w:h="16838" w:orient="portrait"/>
          <w:cols w:equalWidth="0" w:num="2">
            <w:col w:w="1267" w:space="720"/>
            <w:col w:w="7940"/>
          </w:cols>
          <w:pgMar w:left="553" w:top="1440" w:right="1419" w:bottom="144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ind w:left="1047"/>
        <w:spacing w:after="0"/>
        <w:rPr>
          <w:sz w:val="20"/>
          <w:szCs w:val="20"/>
          <w:color w:val="auto"/>
        </w:rPr>
      </w:pPr>
      <w:r>
        <w:rPr>
          <w:rFonts w:ascii="Arial" w:cs="Arial" w:eastAsia="Arial" w:hAnsi="Arial"/>
          <w:sz w:val="29"/>
          <w:szCs w:val="29"/>
          <w:b w:val="1"/>
          <w:bCs w:val="1"/>
          <w:color w:val="010202"/>
        </w:rPr>
        <w:t>Science Applications International Corporation Retirement Plan</w:t>
      </w:r>
    </w:p>
    <w:p>
      <w:pPr>
        <w:spacing w:after="0" w:line="200" w:lineRule="exact"/>
        <w:rPr>
          <w:sz w:val="24"/>
          <w:szCs w:val="24"/>
          <w:color w:val="auto"/>
        </w:rPr>
      </w:pPr>
    </w:p>
    <w:p>
      <w:pPr>
        <w:spacing w:after="0" w:line="397" w:lineRule="exact"/>
        <w:rPr>
          <w:sz w:val="24"/>
          <w:szCs w:val="24"/>
          <w:color w:val="auto"/>
        </w:rPr>
      </w:pPr>
    </w:p>
    <w:p>
      <w:pPr>
        <w:ind w:left="1447" w:hanging="1374"/>
        <w:spacing w:after="0"/>
        <w:tabs>
          <w:tab w:leader="none" w:pos="1447" w:val="left"/>
        </w:tabs>
        <w:numPr>
          <w:ilvl w:val="0"/>
          <w:numId w:val="3"/>
        </w:numPr>
        <w:rPr>
          <w:rFonts w:ascii="Arial" w:cs="Arial" w:eastAsia="Arial" w:hAnsi="Arial"/>
          <w:sz w:val="17"/>
          <w:szCs w:val="17"/>
          <w:color w:val="010202"/>
        </w:rPr>
      </w:pPr>
      <w:r>
        <w:rPr>
          <w:rFonts w:ascii="Arial" w:cs="Arial" w:eastAsia="Arial" w:hAnsi="Arial"/>
          <w:sz w:val="17"/>
          <w:szCs w:val="17"/>
          <w:color w:val="010202"/>
        </w:rPr>
        <w:t>Name of issuer of the securities held pursuant to the plan and the address of its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Science Applications International Corporation</w:t>
      </w:r>
    </w:p>
    <w:p>
      <w:pPr>
        <w:spacing w:after="0" w:line="30"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12010 Sunset Hills Road</w:t>
      </w:r>
    </w:p>
    <w:p>
      <w:pPr>
        <w:spacing w:after="0" w:line="4" w:lineRule="exact"/>
        <w:rPr>
          <w:sz w:val="24"/>
          <w:szCs w:val="24"/>
          <w:color w:val="auto"/>
        </w:rPr>
      </w:pPr>
    </w:p>
    <w:p>
      <w:pPr>
        <w:jc w:val="center"/>
        <w:ind w:right="-866"/>
        <w:spacing w:after="0"/>
        <w:rPr>
          <w:sz w:val="20"/>
          <w:szCs w:val="20"/>
          <w:color w:val="auto"/>
        </w:rPr>
      </w:pPr>
      <w:r>
        <w:rPr>
          <w:rFonts w:ascii="Arial" w:cs="Arial" w:eastAsia="Arial" w:hAnsi="Arial"/>
          <w:sz w:val="22"/>
          <w:szCs w:val="22"/>
          <w:b w:val="1"/>
          <w:bCs w:val="1"/>
          <w:color w:val="010202"/>
        </w:rPr>
        <w:t>Reston, VA 20190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563880</wp:posOffset>
            </wp:positionV>
            <wp:extent cx="68065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529590</wp:posOffset>
            </wp:positionV>
            <wp:extent cx="6806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ectPr>
          <w:pgSz w:w="11900" w:h="16838" w:orient="portrait"/>
          <w:cols w:equalWidth="0" w:num="1">
            <w:col w:w="9927"/>
          </w:cols>
          <w:pgMar w:left="553" w:top="1440" w:right="1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Page</w:t>
            </w:r>
          </w:p>
        </w:tc>
      </w:tr>
      <w:tr>
        <w:trPr>
          <w:trHeight w:val="441"/>
        </w:trPr>
        <w:tc>
          <w:tcPr>
            <w:tcW w:w="5760" w:type="dxa"/>
            <w:vAlign w:val="bottom"/>
            <w:tcBorders>
              <w:bottom w:val="single" w:sz="8" w:color="2B4C9B"/>
            </w:tcBorders>
            <w:gridSpan w:val="7"/>
          </w:tcPr>
          <w:p>
            <w:pPr>
              <w:spacing w:after="0"/>
              <w:rPr>
                <w:rFonts w:ascii="Arial" w:cs="Arial" w:eastAsia="Arial" w:hAnsi="Arial"/>
                <w:sz w:val="17"/>
                <w:szCs w:val="17"/>
                <w:color w:val="2B4C9B"/>
              </w:rPr>
            </w:pPr>
            <w:hyperlink w:anchor="page2">
              <w:r>
                <w:rPr>
                  <w:rFonts w:ascii="Arial" w:cs="Arial" w:eastAsia="Arial" w:hAnsi="Arial"/>
                  <w:sz w:val="17"/>
                  <w:szCs w:val="17"/>
                  <w:color w:val="2B4C9B"/>
                </w:rPr>
                <w:t>REPORT OF INDEPENDENT REGISTERED PUBLIC ACCOUNTING FIRM</w:t>
              </w:r>
            </w:hyperlink>
          </w:p>
        </w:tc>
        <w:tc>
          <w:tcPr>
            <w:tcW w:w="466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516"/>
        </w:trPr>
        <w:tc>
          <w:tcPr>
            <w:tcW w:w="10420" w:type="dxa"/>
            <w:vAlign w:val="bottom"/>
            <w:gridSpan w:val="9"/>
          </w:tcPr>
          <w:p>
            <w:pPr>
              <w:spacing w:after="0"/>
              <w:rPr>
                <w:sz w:val="20"/>
                <w:szCs w:val="20"/>
                <w:color w:val="auto"/>
              </w:rPr>
            </w:pPr>
            <w:r>
              <w:rPr>
                <w:rFonts w:ascii="Arial" w:cs="Arial" w:eastAsia="Arial" w:hAnsi="Arial"/>
                <w:sz w:val="17"/>
                <w:szCs w:val="17"/>
                <w:color w:val="auto"/>
              </w:rPr>
              <w:t>FINANCIAL STATEMENTS</w:t>
            </w:r>
          </w:p>
        </w:tc>
        <w:tc>
          <w:tcPr>
            <w:tcW w:w="800" w:type="dxa"/>
            <w:vAlign w:val="bottom"/>
          </w:tcPr>
          <w:p>
            <w:pPr>
              <w:spacing w:after="0"/>
              <w:rPr>
                <w:sz w:val="24"/>
                <w:szCs w:val="24"/>
                <w:color w:val="auto"/>
              </w:rPr>
            </w:pPr>
          </w:p>
        </w:tc>
      </w:tr>
      <w:tr>
        <w:trPr>
          <w:trHeight w:val="207"/>
        </w:trPr>
        <w:tc>
          <w:tcPr>
            <w:tcW w:w="500" w:type="dxa"/>
            <w:vAlign w:val="bottom"/>
          </w:tcPr>
          <w:p>
            <w:pPr>
              <w:spacing w:after="0"/>
              <w:rPr>
                <w:sz w:val="17"/>
                <w:szCs w:val="17"/>
                <w:color w:val="auto"/>
              </w:rPr>
            </w:pPr>
          </w:p>
        </w:tc>
        <w:tc>
          <w:tcPr>
            <w:tcW w:w="9920" w:type="dxa"/>
            <w:vAlign w:val="bottom"/>
            <w:gridSpan w:val="8"/>
          </w:tcPr>
          <w:p>
            <w:pPr>
              <w:spacing w:after="0"/>
              <w:rPr>
                <w:rFonts w:ascii="Arial" w:cs="Arial" w:eastAsia="Arial" w:hAnsi="Arial"/>
                <w:sz w:val="17"/>
                <w:szCs w:val="17"/>
                <w:color w:val="2B4C9B"/>
              </w:rPr>
            </w:pPr>
            <w:hyperlink w:anchor="page3">
              <w:r>
                <w:rPr>
                  <w:rFonts w:ascii="Arial" w:cs="Arial" w:eastAsia="Arial" w:hAnsi="Arial"/>
                  <w:sz w:val="17"/>
                  <w:szCs w:val="17"/>
                  <w:color w:val="2B4C9B"/>
                </w:rPr>
                <w:t>Statements of Net Assets Available for Benefits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540" w:type="dxa"/>
            <w:vAlign w:val="bottom"/>
            <w:shd w:val="clear" w:color="auto" w:fill="2B4C9B"/>
          </w:tcPr>
          <w:p>
            <w:pPr>
              <w:spacing w:after="0" w:line="20" w:lineRule="exact"/>
              <w:rPr>
                <w:sz w:val="1"/>
                <w:szCs w:val="1"/>
                <w:color w:val="auto"/>
              </w:rPr>
            </w:pPr>
          </w:p>
        </w:tc>
        <w:tc>
          <w:tcPr>
            <w:tcW w:w="1280" w:type="dxa"/>
            <w:vAlign w:val="bottom"/>
            <w:shd w:val="clear" w:color="auto" w:fill="2B4C9B"/>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9920" w:type="dxa"/>
            <w:vAlign w:val="bottom"/>
            <w:gridSpan w:val="8"/>
          </w:tcPr>
          <w:p>
            <w:pPr>
              <w:spacing w:after="0"/>
              <w:rPr>
                <w:rFonts w:ascii="Arial" w:cs="Arial" w:eastAsia="Arial" w:hAnsi="Arial"/>
                <w:sz w:val="17"/>
                <w:szCs w:val="17"/>
                <w:color w:val="2B4C9B"/>
              </w:rPr>
            </w:pPr>
            <w:hyperlink w:anchor="page4">
              <w:r>
                <w:rPr>
                  <w:rFonts w:ascii="Arial" w:cs="Arial" w:eastAsia="Arial" w:hAnsi="Arial"/>
                  <w:sz w:val="17"/>
                  <w:szCs w:val="17"/>
                  <w:color w:val="2B4C9B"/>
                </w:rPr>
                <w:t>Statements of Changes in Net Assets Available for Benefits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500" w:type="dxa"/>
            <w:vAlign w:val="bottom"/>
          </w:tcPr>
          <w:p>
            <w:pPr>
              <w:spacing w:after="0"/>
              <w:rPr>
                <w:sz w:val="21"/>
                <w:szCs w:val="21"/>
                <w:color w:val="auto"/>
              </w:rPr>
            </w:pPr>
          </w:p>
        </w:tc>
        <w:tc>
          <w:tcPr>
            <w:tcW w:w="2280" w:type="dxa"/>
            <w:vAlign w:val="bottom"/>
            <w:tcBorders>
              <w:top w:val="single" w:sz="8" w:color="2B4C9B"/>
              <w:bottom w:val="single" w:sz="8" w:color="2B4C9B"/>
            </w:tcBorders>
            <w:gridSpan w:val="3"/>
          </w:tcPr>
          <w:p>
            <w:pPr>
              <w:spacing w:after="0"/>
              <w:rPr>
                <w:rFonts w:ascii="Arial" w:cs="Arial" w:eastAsia="Arial" w:hAnsi="Arial"/>
                <w:sz w:val="17"/>
                <w:szCs w:val="17"/>
                <w:color w:val="2B4C9B"/>
                <w:w w:val="99"/>
              </w:rPr>
            </w:pPr>
            <w:hyperlink w:anchor="page5">
              <w:r>
                <w:rPr>
                  <w:rFonts w:ascii="Arial" w:cs="Arial" w:eastAsia="Arial" w:hAnsi="Arial"/>
                  <w:sz w:val="17"/>
                  <w:szCs w:val="17"/>
                  <w:color w:val="2B4C9B"/>
                  <w:w w:val="99"/>
                </w:rPr>
                <w:t>Notes to Financial Statements</w:t>
              </w:r>
            </w:hyperlink>
          </w:p>
        </w:tc>
        <w:tc>
          <w:tcPr>
            <w:tcW w:w="2200" w:type="dxa"/>
            <w:vAlign w:val="bottom"/>
            <w:tcBorders>
              <w:top w:val="single" w:sz="8" w:color="2B4C9B"/>
            </w:tcBorders>
            <w:gridSpan w:val="2"/>
          </w:tcPr>
          <w:p>
            <w:pPr>
              <w:spacing w:after="0"/>
              <w:rPr>
                <w:sz w:val="21"/>
                <w:szCs w:val="21"/>
                <w:color w:val="auto"/>
              </w:rPr>
            </w:pPr>
          </w:p>
        </w:tc>
        <w:tc>
          <w:tcPr>
            <w:tcW w:w="5440" w:type="dxa"/>
            <w:vAlign w:val="bottom"/>
            <w:gridSpan w:val="3"/>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516"/>
        </w:trPr>
        <w:tc>
          <w:tcPr>
            <w:tcW w:w="10420" w:type="dxa"/>
            <w:vAlign w:val="bottom"/>
            <w:gridSpan w:val="9"/>
          </w:tcPr>
          <w:p>
            <w:pPr>
              <w:spacing w:after="0"/>
              <w:rPr>
                <w:sz w:val="20"/>
                <w:szCs w:val="20"/>
                <w:color w:val="auto"/>
              </w:rPr>
            </w:pPr>
            <w:r>
              <w:rPr>
                <w:rFonts w:ascii="Arial" w:cs="Arial" w:eastAsia="Arial" w:hAnsi="Arial"/>
                <w:sz w:val="17"/>
                <w:szCs w:val="17"/>
                <w:color w:val="auto"/>
              </w:rPr>
              <w:t>SUPPLEMENTAL SCHEDULE</w:t>
            </w:r>
          </w:p>
        </w:tc>
        <w:tc>
          <w:tcPr>
            <w:tcW w:w="800" w:type="dxa"/>
            <w:vAlign w:val="bottom"/>
          </w:tcPr>
          <w:p>
            <w:pPr>
              <w:spacing w:after="0"/>
              <w:rPr>
                <w:sz w:val="24"/>
                <w:szCs w:val="24"/>
                <w:color w:val="auto"/>
              </w:rPr>
            </w:pPr>
          </w:p>
        </w:tc>
      </w:tr>
      <w:tr>
        <w:trPr>
          <w:trHeight w:val="206"/>
        </w:trPr>
        <w:tc>
          <w:tcPr>
            <w:tcW w:w="500" w:type="dxa"/>
            <w:vAlign w:val="bottom"/>
          </w:tcPr>
          <w:p>
            <w:pPr>
              <w:spacing w:after="0"/>
              <w:rPr>
                <w:sz w:val="17"/>
                <w:szCs w:val="17"/>
                <w:color w:val="auto"/>
              </w:rPr>
            </w:pPr>
          </w:p>
        </w:tc>
        <w:tc>
          <w:tcPr>
            <w:tcW w:w="9920" w:type="dxa"/>
            <w:vAlign w:val="bottom"/>
            <w:gridSpan w:val="8"/>
          </w:tcPr>
          <w:p>
            <w:pPr>
              <w:spacing w:after="0"/>
              <w:rPr>
                <w:rFonts w:ascii="Arial" w:cs="Arial" w:eastAsia="Arial" w:hAnsi="Arial"/>
                <w:sz w:val="17"/>
                <w:szCs w:val="17"/>
                <w:color w:val="2B4C9B"/>
              </w:rPr>
            </w:pPr>
            <w:hyperlink w:anchor="page9">
              <w:r>
                <w:rPr>
                  <w:rFonts w:ascii="Arial" w:cs="Arial" w:eastAsia="Arial" w:hAnsi="Arial"/>
                  <w:sz w:val="17"/>
                  <w:szCs w:val="17"/>
                  <w:color w:val="2B4C9B"/>
                </w:rPr>
                <w:t>Form 5500, Schedule H, Part IV, Line 4i—Schedule of Assets (Held at End of Year)</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5520" w:type="dxa"/>
            <w:vAlign w:val="bottom"/>
            <w:gridSpan w:val="5"/>
            <w:shd w:val="clear" w:color="auto" w:fill="2B4C9B"/>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07"/>
        </w:trPr>
        <w:tc>
          <w:tcPr>
            <w:tcW w:w="1000" w:type="dxa"/>
            <w:vAlign w:val="bottom"/>
            <w:tcBorders>
              <w:bottom w:val="single" w:sz="8" w:color="2B4C9B"/>
            </w:tcBorders>
            <w:gridSpan w:val="2"/>
          </w:tcPr>
          <w:p>
            <w:pPr>
              <w:spacing w:after="0"/>
              <w:rPr>
                <w:rFonts w:ascii="Arial" w:cs="Arial" w:eastAsia="Arial" w:hAnsi="Arial"/>
                <w:sz w:val="17"/>
                <w:szCs w:val="17"/>
                <w:color w:val="2B4C9B"/>
                <w:w w:val="98"/>
              </w:rPr>
            </w:pPr>
            <w:hyperlink w:anchor="page10">
              <w:r>
                <w:rPr>
                  <w:rFonts w:ascii="Arial" w:cs="Arial" w:eastAsia="Arial" w:hAnsi="Arial"/>
                  <w:sz w:val="17"/>
                  <w:szCs w:val="17"/>
                  <w:color w:val="2B4C9B"/>
                  <w:w w:val="98"/>
                </w:rPr>
                <w:t>SIGNATURE</w:t>
              </w:r>
            </w:hyperlink>
          </w:p>
        </w:tc>
        <w:tc>
          <w:tcPr>
            <w:tcW w:w="94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507"/>
        </w:trPr>
        <w:tc>
          <w:tcPr>
            <w:tcW w:w="10420" w:type="dxa"/>
            <w:vAlign w:val="bottom"/>
            <w:gridSpan w:val="9"/>
          </w:tcPr>
          <w:p>
            <w:pPr>
              <w:spacing w:after="0"/>
              <w:rPr>
                <w:rFonts w:ascii="Arial" w:cs="Arial" w:eastAsia="Arial" w:hAnsi="Arial"/>
                <w:sz w:val="17"/>
                <w:szCs w:val="17"/>
                <w:color w:val="2B4C9B"/>
              </w:rPr>
            </w:pPr>
            <w:hyperlink w:anchor="page11">
              <w:r>
                <w:rPr>
                  <w:rFonts w:ascii="Arial" w:cs="Arial" w:eastAsia="Arial" w:hAnsi="Arial"/>
                  <w:sz w:val="17"/>
                  <w:szCs w:val="17"/>
                  <w:color w:val="2B4C9B"/>
                </w:rPr>
                <w:t>EXHIBIT INDEX</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
        </w:trPr>
        <w:tc>
          <w:tcPr>
            <w:tcW w:w="50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72" w:lineRule="exact"/>
        <w:rPr>
          <w:sz w:val="20"/>
          <w:szCs w:val="20"/>
          <w:color w:val="auto"/>
        </w:rPr>
      </w:pPr>
    </w:p>
    <w:p>
      <w:pPr>
        <w:ind w:right="700"/>
        <w:spacing w:after="0" w:line="259" w:lineRule="auto"/>
        <w:rPr>
          <w:sz w:val="20"/>
          <w:szCs w:val="20"/>
          <w:color w:val="auto"/>
        </w:rPr>
      </w:pPr>
      <w:r>
        <w:rPr>
          <w:rFonts w:ascii="Arial" w:cs="Arial" w:eastAsia="Arial" w:hAnsi="Arial"/>
          <w:sz w:val="17"/>
          <w:szCs w:val="17"/>
          <w:color w:val="010202"/>
        </w:rPr>
        <w:t>NOTE: All other schedules required by Section 29 CFR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118" w:right="339" w:bottom="1440" w:gutter="0" w:footer="0" w:header="0"/>
        </w:sectPr>
      </w:pPr>
    </w:p>
    <w:bookmarkStart w:id="2" w:name="page3"/>
    <w:bookmarkEnd w:id="2"/>
    <w:p>
      <w:pPr>
        <w:spacing w:after="0" w:line="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Benefit Plans Committee and Participants of</w:t>
      </w:r>
    </w:p>
    <w:p>
      <w:pPr>
        <w:spacing w:after="0"/>
        <w:rPr>
          <w:sz w:val="20"/>
          <w:szCs w:val="20"/>
          <w:color w:val="auto"/>
        </w:rPr>
      </w:pPr>
      <w:r>
        <w:rPr>
          <w:rFonts w:ascii="Arial" w:cs="Arial" w:eastAsia="Arial" w:hAnsi="Arial"/>
          <w:sz w:val="18"/>
          <w:szCs w:val="18"/>
          <w:color w:val="auto"/>
        </w:rPr>
        <w:t>Science Applications International Corporation Retirement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 xml:space="preserve">We have audited the accompanying statements of net assets available for benefits of the </w:t>
      </w:r>
      <w:r>
        <w:rPr>
          <w:rFonts w:ascii="Arial" w:cs="Arial" w:eastAsia="Arial" w:hAnsi="Arial"/>
          <w:sz w:val="18"/>
          <w:szCs w:val="18"/>
          <w:b w:val="1"/>
          <w:bCs w:val="1"/>
          <w:color w:val="auto"/>
        </w:rPr>
        <w:t>Science Applications International Corporation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(the “Plan”) as of December 31, 2020 and 2019 and the related statements of changes in net assets available for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years then ended, and the related notes (collectively referred to as the </w:t>
      </w:r>
      <w:r>
        <w:rPr>
          <w:rFonts w:ascii="Arial" w:cs="Arial" w:eastAsia="Arial" w:hAnsi="Arial"/>
          <w:sz w:val="21"/>
          <w:szCs w:val="21"/>
          <w:color w:val="auto"/>
        </w:rPr>
        <w:t>financial statements</w:t>
      </w:r>
      <w:r>
        <w:rPr>
          <w:rFonts w:ascii="Arial" w:cs="Arial" w:eastAsia="Arial" w:hAnsi="Arial"/>
          <w:sz w:val="18"/>
          <w:szCs w:val="18"/>
          <w:color w:val="auto"/>
        </w:rPr>
        <w:t>). In our opinion, the financial statements present fairly, in all material respects, the net assets available for benefits of the Plan as of December 31, 2020 and 2019, and the changes in net assets available for benefits for the years then ended,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1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47"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Schedule of Assets (Held at Year End) as of December 31, 2020 (collectively referred to as the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June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1 -</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B4C9B"/>
        </w:rPr>
        <w:t>STATEMENTS OF NET ASSETS AVAILABLE FOR BENEFITS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jc w:val="right"/>
              <w:ind w:right="14"/>
              <w:spacing w:after="0"/>
              <w:rPr>
                <w:sz w:val="20"/>
                <w:szCs w:val="20"/>
                <w:color w:val="auto"/>
              </w:rPr>
            </w:pPr>
            <w:r>
              <w:rPr>
                <w:rFonts w:ascii="Arial" w:cs="Arial" w:eastAsia="Arial" w:hAnsi="Arial"/>
                <w:sz w:val="14"/>
                <w:szCs w:val="14"/>
                <w:b w:val="1"/>
                <w:bCs w:val="1"/>
                <w:color w:val="2B4C9B"/>
              </w:rPr>
              <w:t>December 31,</w:t>
            </w:r>
          </w:p>
        </w:tc>
        <w:tc>
          <w:tcPr>
            <w:tcW w:w="6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6440" w:type="dxa"/>
            <w:vAlign w:val="bottom"/>
            <w:tcBorders>
              <w:bottom w:val="single" w:sz="8" w:color="2B4C9B"/>
            </w:tcBorders>
          </w:tcPr>
          <w:p>
            <w:pPr>
              <w:spacing w:after="0"/>
              <w:rPr>
                <w:sz w:val="16"/>
                <w:szCs w:val="16"/>
                <w:color w:val="auto"/>
              </w:rPr>
            </w:pPr>
          </w:p>
        </w:tc>
        <w:tc>
          <w:tcPr>
            <w:tcW w:w="1540" w:type="dxa"/>
            <w:vAlign w:val="bottom"/>
            <w:tcBorders>
              <w:bottom w:val="single" w:sz="8" w:color="2B4C9B"/>
            </w:tcBorders>
          </w:tcPr>
          <w:p>
            <w:pPr>
              <w:spacing w:after="0"/>
              <w:rPr>
                <w:sz w:val="16"/>
                <w:szCs w:val="16"/>
                <w:color w:val="auto"/>
              </w:rPr>
            </w:pPr>
          </w:p>
        </w:tc>
        <w:tc>
          <w:tcPr>
            <w:tcW w:w="132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b w:val="1"/>
                <w:bCs w:val="1"/>
                <w:color w:val="2B4C9B"/>
              </w:rPr>
              <w:t>2020</w:t>
            </w:r>
          </w:p>
        </w:tc>
        <w:tc>
          <w:tcPr>
            <w:tcW w:w="620" w:type="dxa"/>
            <w:vAlign w:val="bottom"/>
            <w:tcBorders>
              <w:bottom w:val="single" w:sz="8" w:color="2B4C9B"/>
            </w:tcBorders>
          </w:tcPr>
          <w:p>
            <w:pPr>
              <w:spacing w:after="0"/>
              <w:rPr>
                <w:sz w:val="16"/>
                <w:szCs w:val="16"/>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6440" w:type="dxa"/>
            <w:vAlign w:val="bottom"/>
            <w:vMerge w:val="restart"/>
          </w:tcPr>
          <w:p>
            <w:pPr>
              <w:ind w:left="20"/>
              <w:spacing w:after="0"/>
              <w:rPr>
                <w:sz w:val="20"/>
                <w:szCs w:val="20"/>
                <w:color w:val="auto"/>
              </w:rPr>
            </w:pPr>
            <w:r>
              <w:rPr>
                <w:rFonts w:ascii="Arial" w:cs="Arial" w:eastAsia="Arial" w:hAnsi="Arial"/>
                <w:sz w:val="18"/>
                <w:szCs w:val="18"/>
                <w:b w:val="1"/>
                <w:bCs w:val="1"/>
                <w:color w:val="2B4C9B"/>
              </w:rPr>
              <w:t>ASSETS:</w:t>
            </w:r>
          </w:p>
        </w:tc>
        <w:tc>
          <w:tcPr>
            <w:tcW w:w="1540" w:type="dxa"/>
            <w:vAlign w:val="bottom"/>
          </w:tcPr>
          <w:p>
            <w:pPr>
              <w:spacing w:after="0"/>
              <w:rPr>
                <w:sz w:val="16"/>
                <w:szCs w:val="16"/>
                <w:color w:val="auto"/>
              </w:rPr>
            </w:pPr>
          </w:p>
        </w:tc>
        <w:tc>
          <w:tcPr>
            <w:tcW w:w="1940" w:type="dxa"/>
            <w:vAlign w:val="bottom"/>
            <w:gridSpan w:val="2"/>
          </w:tcPr>
          <w:p>
            <w:pPr>
              <w:jc w:val="right"/>
              <w:ind w:right="9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Mutual funds</w:t>
            </w:r>
          </w:p>
        </w:tc>
        <w:tc>
          <w:tcPr>
            <w:tcW w:w="154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2B4C9B"/>
              </w:rPr>
              <w:t>$</w:t>
            </w: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1,433,296</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956,574</w:t>
            </w:r>
          </w:p>
        </w:tc>
        <w:tc>
          <w:tcPr>
            <w:tcW w:w="0" w:type="dxa"/>
            <w:vAlign w:val="bottom"/>
          </w:tcPr>
          <w:p>
            <w:pPr>
              <w:spacing w:after="0"/>
              <w:rPr>
                <w:sz w:val="1"/>
                <w:szCs w:val="1"/>
                <w:color w:val="auto"/>
              </w:rPr>
            </w:pPr>
          </w:p>
        </w:tc>
      </w:tr>
      <w:tr>
        <w:trPr>
          <w:trHeight w:val="229"/>
        </w:trPr>
        <w:tc>
          <w:tcPr>
            <w:tcW w:w="6440" w:type="dxa"/>
            <w:vAlign w:val="bottom"/>
          </w:tcPr>
          <w:p>
            <w:pPr>
              <w:ind w:left="380"/>
              <w:spacing w:after="0"/>
              <w:rPr>
                <w:sz w:val="20"/>
                <w:szCs w:val="20"/>
                <w:color w:val="auto"/>
              </w:rPr>
            </w:pPr>
            <w:r>
              <w:rPr>
                <w:rFonts w:ascii="Arial" w:cs="Arial" w:eastAsia="Arial" w:hAnsi="Arial"/>
                <w:sz w:val="18"/>
                <w:szCs w:val="18"/>
                <w:color w:val="auto"/>
              </w:rPr>
              <w:t>Science Applications International Corporation common stock</w:t>
            </w:r>
          </w:p>
        </w:tc>
        <w:tc>
          <w:tcPr>
            <w:tcW w:w="154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2B4C9B"/>
              </w:rPr>
              <w:t>109,413</w:t>
            </w:r>
          </w:p>
        </w:tc>
        <w:tc>
          <w:tcPr>
            <w:tcW w:w="62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112,573</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collective trusts</w:t>
            </w:r>
          </w:p>
        </w:tc>
        <w:tc>
          <w:tcPr>
            <w:tcW w:w="15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2,993,179</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1,885,958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2B4C9B"/>
            </w:tcBorders>
          </w:tcPr>
          <w:p>
            <w:pPr>
              <w:ind w:left="380"/>
              <w:spacing w:after="0"/>
              <w:rPr>
                <w:sz w:val="20"/>
                <w:szCs w:val="20"/>
                <w:color w:val="auto"/>
              </w:rPr>
            </w:pPr>
            <w:r>
              <w:rPr>
                <w:rFonts w:ascii="Arial" w:cs="Arial" w:eastAsia="Arial" w:hAnsi="Arial"/>
                <w:sz w:val="18"/>
                <w:szCs w:val="18"/>
                <w:color w:val="auto"/>
              </w:rPr>
              <w:t>Self-directed brokerage fund</w:t>
            </w:r>
          </w:p>
        </w:tc>
        <w:tc>
          <w:tcPr>
            <w:tcW w:w="154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75,026</w:t>
            </w:r>
          </w:p>
        </w:tc>
        <w:tc>
          <w:tcPr>
            <w:tcW w:w="62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ind w:left="760"/>
              <w:spacing w:after="0"/>
              <w:rPr>
                <w:sz w:val="20"/>
                <w:szCs w:val="20"/>
                <w:color w:val="auto"/>
              </w:rPr>
            </w:pPr>
            <w:r>
              <w:rPr>
                <w:rFonts w:ascii="Arial" w:cs="Arial" w:eastAsia="Arial" w:hAnsi="Arial"/>
                <w:sz w:val="18"/>
                <w:szCs w:val="18"/>
                <w:color w:val="auto"/>
              </w:rPr>
              <w:t>Total investments</w:t>
            </w:r>
          </w:p>
        </w:tc>
        <w:tc>
          <w:tcPr>
            <w:tcW w:w="15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4,610,914</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2,987,514</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receivable from participants</w:t>
            </w:r>
          </w:p>
        </w:tc>
        <w:tc>
          <w:tcPr>
            <w:tcW w:w="15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29,852</w:t>
            </w: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23,515</w:t>
            </w:r>
          </w:p>
        </w:tc>
        <w:tc>
          <w:tcPr>
            <w:tcW w:w="0" w:type="dxa"/>
            <w:vAlign w:val="bottom"/>
          </w:tcPr>
          <w:p>
            <w:pPr>
              <w:spacing w:after="0"/>
              <w:rPr>
                <w:sz w:val="1"/>
                <w:szCs w:val="1"/>
                <w:color w:val="auto"/>
              </w:rPr>
            </w:pPr>
          </w:p>
        </w:tc>
      </w:tr>
      <w:tr>
        <w:trPr>
          <w:trHeight w:val="230"/>
        </w:trPr>
        <w:tc>
          <w:tcPr>
            <w:tcW w:w="6440" w:type="dxa"/>
            <w:vAlign w:val="bottom"/>
          </w:tcPr>
          <w:p>
            <w:pPr>
              <w:ind w:left="380"/>
              <w:spacing w:after="0"/>
              <w:rPr>
                <w:sz w:val="20"/>
                <w:szCs w:val="20"/>
                <w:color w:val="auto"/>
              </w:rPr>
            </w:pPr>
            <w:r>
              <w:rPr>
                <w:rFonts w:ascii="Arial" w:cs="Arial" w:eastAsia="Arial" w:hAnsi="Arial"/>
                <w:sz w:val="18"/>
                <w:szCs w:val="18"/>
                <w:color w:val="auto"/>
              </w:rPr>
              <w:t>Employer contributions</w:t>
            </w:r>
          </w:p>
        </w:tc>
        <w:tc>
          <w:tcPr>
            <w:tcW w:w="154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b w:val="1"/>
                <w:bCs w:val="1"/>
                <w:color w:val="2B4C9B"/>
              </w:rPr>
              <w:t>19,868</w:t>
            </w:r>
          </w:p>
        </w:tc>
        <w:tc>
          <w:tcPr>
            <w:tcW w:w="62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2B4C9B"/>
            </w:tcBorders>
            <w:shd w:val="clear" w:color="auto" w:fill="CFF0FC"/>
          </w:tcPr>
          <w:p>
            <w:pPr>
              <w:ind w:left="380"/>
              <w:spacing w:after="0"/>
              <w:rPr>
                <w:sz w:val="20"/>
                <w:szCs w:val="20"/>
                <w:color w:val="auto"/>
              </w:rPr>
            </w:pPr>
            <w:r>
              <w:rPr>
                <w:rFonts w:ascii="Arial" w:cs="Arial" w:eastAsia="Arial" w:hAnsi="Arial"/>
                <w:sz w:val="18"/>
                <w:szCs w:val="18"/>
                <w:color w:val="auto"/>
              </w:rPr>
              <w:t>Participant contributions</w:t>
            </w:r>
          </w:p>
        </w:tc>
        <w:tc>
          <w:tcPr>
            <w:tcW w:w="154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w:t>
            </w:r>
          </w:p>
        </w:tc>
        <w:tc>
          <w:tcPr>
            <w:tcW w:w="62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2B4C9B"/>
            </w:tcBorders>
          </w:tcPr>
          <w:p>
            <w:pPr>
              <w:ind w:left="760"/>
              <w:spacing w:after="0"/>
              <w:rPr>
                <w:sz w:val="20"/>
                <w:szCs w:val="20"/>
                <w:color w:val="auto"/>
              </w:rPr>
            </w:pPr>
            <w:r>
              <w:rPr>
                <w:rFonts w:ascii="Arial" w:cs="Arial" w:eastAsia="Arial" w:hAnsi="Arial"/>
                <w:sz w:val="18"/>
                <w:szCs w:val="18"/>
                <w:color w:val="auto"/>
              </w:rPr>
              <w:t>Total receivables</w:t>
            </w:r>
          </w:p>
        </w:tc>
        <w:tc>
          <w:tcPr>
            <w:tcW w:w="154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49,720</w:t>
            </w:r>
          </w:p>
        </w:tc>
        <w:tc>
          <w:tcPr>
            <w:tcW w:w="62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28,427</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540" w:type="dxa"/>
            <w:vAlign w:val="bottom"/>
            <w:tcBorders>
              <w:bottom w:val="single" w:sz="8" w:color="2B4C9B"/>
            </w:tcBorders>
            <w:shd w:val="clear" w:color="auto" w:fill="CFF0FC"/>
          </w:tcPr>
          <w:p>
            <w:pPr>
              <w:spacing w:after="0"/>
              <w:rPr>
                <w:sz w:val="20"/>
                <w:szCs w:val="20"/>
                <w:color w:val="auto"/>
              </w:rPr>
            </w:pPr>
          </w:p>
        </w:tc>
        <w:tc>
          <w:tcPr>
            <w:tcW w:w="132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4,660,634</w:t>
            </w:r>
          </w:p>
        </w:tc>
        <w:tc>
          <w:tcPr>
            <w:tcW w:w="620" w:type="dxa"/>
            <w:vAlign w:val="bottom"/>
            <w:tcBorders>
              <w:bottom w:val="single" w:sz="8" w:color="2B4C9B"/>
            </w:tcBorders>
            <w:shd w:val="clear" w:color="auto" w:fill="CFF0FC"/>
          </w:tcPr>
          <w:p>
            <w:pPr>
              <w:spacing w:after="0"/>
              <w:rPr>
                <w:sz w:val="20"/>
                <w:szCs w:val="20"/>
                <w:color w:val="auto"/>
              </w:rPr>
            </w:pPr>
          </w:p>
        </w:tc>
        <w:tc>
          <w:tcPr>
            <w:tcW w:w="110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3,015,941</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2B4C9B"/>
              </w:rPr>
              <w:t>LIABILITIES:</w:t>
            </w:r>
          </w:p>
        </w:tc>
        <w:tc>
          <w:tcPr>
            <w:tcW w:w="1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Excess contributions due to participants</w:t>
            </w:r>
          </w:p>
        </w:tc>
        <w:tc>
          <w:tcPr>
            <w:tcW w:w="154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w:t>
            </w:r>
          </w:p>
        </w:tc>
        <w:tc>
          <w:tcPr>
            <w:tcW w:w="62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ASSETS AVAILABLE FOR BENEFITS</w:t>
            </w:r>
          </w:p>
        </w:tc>
        <w:tc>
          <w:tcPr>
            <w:tcW w:w="154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4,660,634</w:t>
            </w:r>
          </w:p>
        </w:tc>
        <w:tc>
          <w:tcPr>
            <w:tcW w:w="620" w:type="dxa"/>
            <w:vAlign w:val="bottom"/>
            <w:tcBorders>
              <w:bottom w:val="single" w:sz="8" w:color="2B4C9B"/>
            </w:tcBorders>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3,015,940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020"/>
          </w:cols>
          <w:pgMar w:left="440" w:top="118" w:right="4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2B4C9B"/>
        </w:rPr>
        <w:t xml:space="preserve">- </w:t>
      </w:r>
      <w:r>
        <w:rPr>
          <w:rFonts w:ascii="Arial" w:cs="Arial" w:eastAsia="Arial" w:hAnsi="Arial"/>
          <w:sz w:val="16"/>
          <w:szCs w:val="16"/>
          <w:color w:val="2B4C9B"/>
        </w:rPr>
        <w:t>2 -</w:t>
      </w:r>
    </w:p>
    <w:p>
      <w:pPr>
        <w:sectPr>
          <w:pgSz w:w="11900" w:h="16838" w:orient="portrait"/>
          <w:cols w:equalWidth="0" w:num="1">
            <w:col w:w="11020"/>
          </w:cols>
          <w:pgMar w:left="440" w:top="118" w:right="4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STATEMENTS OF CHANGES IN NET ASSETS AVAILABLE FOR BENEFITS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460" w:type="dxa"/>
            <w:vAlign w:val="bottom"/>
            <w:tcBorders>
              <w:bottom w:val="single" w:sz="8" w:color="2B4C9B"/>
            </w:tcBorders>
          </w:tcPr>
          <w:p>
            <w:pPr>
              <w:spacing w:after="0"/>
              <w:rPr>
                <w:sz w:val="14"/>
                <w:szCs w:val="14"/>
                <w:color w:val="auto"/>
              </w:rPr>
            </w:pPr>
          </w:p>
        </w:tc>
        <w:tc>
          <w:tcPr>
            <w:tcW w:w="1940" w:type="dxa"/>
            <w:vAlign w:val="bottom"/>
            <w:tcBorders>
              <w:bottom w:val="single" w:sz="8" w:color="2B4C9B"/>
            </w:tcBorders>
            <w:gridSpan w:val="2"/>
          </w:tcPr>
          <w:p>
            <w:pPr>
              <w:jc w:val="right"/>
              <w:ind w:right="190"/>
              <w:spacing w:after="0"/>
              <w:rPr>
                <w:sz w:val="20"/>
                <w:szCs w:val="20"/>
                <w:color w:val="auto"/>
              </w:rPr>
            </w:pPr>
            <w:r>
              <w:rPr>
                <w:rFonts w:ascii="Arial" w:cs="Arial" w:eastAsia="Arial" w:hAnsi="Arial"/>
                <w:sz w:val="14"/>
                <w:szCs w:val="14"/>
                <w:color w:val="auto"/>
              </w:rPr>
              <w:t>Year Ended</w:t>
            </w:r>
          </w:p>
        </w:tc>
        <w:tc>
          <w:tcPr>
            <w:tcW w:w="1100" w:type="dxa"/>
            <w:vAlign w:val="bottom"/>
            <w:tcBorders>
              <w:bottom w:val="single" w:sz="8" w:color="2B4C9B"/>
            </w:tcBorders>
          </w:tcPr>
          <w:p>
            <w:pPr>
              <w:spacing w:after="0"/>
              <w:rPr>
                <w:sz w:val="14"/>
                <w:szCs w:val="14"/>
                <w:color w:val="auto"/>
              </w:rPr>
            </w:pPr>
          </w:p>
        </w:tc>
      </w:tr>
      <w:tr>
        <w:trPr>
          <w:trHeight w:val="183"/>
        </w:trPr>
        <w:tc>
          <w:tcPr>
            <w:tcW w:w="7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ind w:right="14"/>
              <w:spacing w:after="0"/>
              <w:rPr>
                <w:sz w:val="20"/>
                <w:szCs w:val="20"/>
                <w:color w:val="auto"/>
              </w:rPr>
            </w:pPr>
            <w:r>
              <w:rPr>
                <w:rFonts w:ascii="Arial" w:cs="Arial" w:eastAsia="Arial" w:hAnsi="Arial"/>
                <w:sz w:val="14"/>
                <w:szCs w:val="14"/>
                <w:b w:val="1"/>
                <w:bCs w:val="1"/>
                <w:color w:val="2B4C9B"/>
              </w:rPr>
              <w:t>December 31,</w:t>
            </w:r>
          </w:p>
        </w:tc>
        <w:tc>
          <w:tcPr>
            <w:tcW w:w="5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December 31,</w:t>
            </w:r>
          </w:p>
        </w:tc>
      </w:tr>
      <w:tr>
        <w:trPr>
          <w:trHeight w:val="189"/>
        </w:trPr>
        <w:tc>
          <w:tcPr>
            <w:tcW w:w="7740" w:type="dxa"/>
            <w:vAlign w:val="bottom"/>
            <w:tcBorders>
              <w:bottom w:val="single" w:sz="8" w:color="2B4C9B"/>
            </w:tcBorders>
          </w:tcPr>
          <w:p>
            <w:pPr>
              <w:spacing w:after="0"/>
              <w:rPr>
                <w:sz w:val="16"/>
                <w:szCs w:val="16"/>
                <w:color w:val="auto"/>
              </w:rPr>
            </w:pPr>
          </w:p>
        </w:tc>
        <w:tc>
          <w:tcPr>
            <w:tcW w:w="460" w:type="dxa"/>
            <w:vAlign w:val="bottom"/>
            <w:tcBorders>
              <w:bottom w:val="single" w:sz="8" w:color="2B4C9B"/>
            </w:tcBorders>
          </w:tcPr>
          <w:p>
            <w:pPr>
              <w:spacing w:after="0"/>
              <w:rPr>
                <w:sz w:val="16"/>
                <w:szCs w:val="16"/>
                <w:color w:val="auto"/>
              </w:rPr>
            </w:pPr>
          </w:p>
        </w:tc>
        <w:tc>
          <w:tcPr>
            <w:tcW w:w="1360" w:type="dxa"/>
            <w:vAlign w:val="bottom"/>
            <w:tcBorders>
              <w:bottom w:val="single" w:sz="8" w:color="2B4C9B"/>
            </w:tcBorders>
          </w:tcPr>
          <w:p>
            <w:pPr>
              <w:jc w:val="right"/>
              <w:ind w:right="14"/>
              <w:spacing w:after="0"/>
              <w:rPr>
                <w:sz w:val="20"/>
                <w:szCs w:val="20"/>
                <w:color w:val="auto"/>
              </w:rPr>
            </w:pPr>
            <w:r>
              <w:rPr>
                <w:rFonts w:ascii="Arial" w:cs="Arial" w:eastAsia="Arial" w:hAnsi="Arial"/>
                <w:sz w:val="14"/>
                <w:szCs w:val="14"/>
                <w:b w:val="1"/>
                <w:bCs w:val="1"/>
                <w:color w:val="2B4C9B"/>
              </w:rPr>
              <w:t>2020</w:t>
            </w:r>
          </w:p>
        </w:tc>
        <w:tc>
          <w:tcPr>
            <w:tcW w:w="580" w:type="dxa"/>
            <w:vAlign w:val="bottom"/>
            <w:tcBorders>
              <w:bottom w:val="single" w:sz="8" w:color="2B4C9B"/>
            </w:tcBorders>
          </w:tcPr>
          <w:p>
            <w:pPr>
              <w:spacing w:after="0"/>
              <w:rPr>
                <w:sz w:val="16"/>
                <w:szCs w:val="16"/>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2019</w:t>
            </w:r>
          </w:p>
        </w:tc>
      </w:tr>
      <w:tr>
        <w:trPr>
          <w:trHeight w:val="184"/>
        </w:trPr>
        <w:tc>
          <w:tcPr>
            <w:tcW w:w="7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r>
      <w:tr>
        <w:trPr>
          <w:trHeight w:val="228"/>
        </w:trPr>
        <w:tc>
          <w:tcPr>
            <w:tcW w:w="77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555,591</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471,253</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Interest and dividends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61,956</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61,011</w:t>
            </w:r>
          </w:p>
        </w:tc>
      </w:tr>
      <w:tr>
        <w:trPr>
          <w:trHeight w:val="223"/>
        </w:trPr>
        <w:tc>
          <w:tcPr>
            <w:tcW w:w="7740" w:type="dxa"/>
            <w:vAlign w:val="bottom"/>
            <w:tcBorders>
              <w:bottom w:val="single" w:sz="8" w:color="2B4C9B"/>
            </w:tcBorders>
            <w:shd w:val="clear" w:color="auto" w:fill="CFF0FC"/>
          </w:tcPr>
          <w:p>
            <w:pPr>
              <w:ind w:left="700"/>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617,547</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532,264</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7740" w:type="dxa"/>
            <w:vAlign w:val="bottom"/>
            <w:tcBorders>
              <w:bottom w:val="single" w:sz="8" w:color="2B4C9B"/>
            </w:tcBorders>
            <w:shd w:val="clear" w:color="auto" w:fill="CCF0FC"/>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460" w:type="dxa"/>
            <w:vAlign w:val="bottom"/>
            <w:tcBorders>
              <w:bottom w:val="single" w:sz="8" w:color="2B4C9B"/>
            </w:tcBorders>
            <w:shd w:val="clear" w:color="auto" w:fill="CCF0FC"/>
          </w:tcPr>
          <w:p>
            <w:pPr>
              <w:spacing w:after="0"/>
              <w:rPr>
                <w:sz w:val="19"/>
                <w:szCs w:val="19"/>
                <w:color w:val="auto"/>
              </w:rPr>
            </w:pPr>
          </w:p>
        </w:tc>
        <w:tc>
          <w:tcPr>
            <w:tcW w:w="1360" w:type="dxa"/>
            <w:vAlign w:val="bottom"/>
            <w:tcBorders>
              <w:bottom w:val="single" w:sz="8" w:color="2B4C9B"/>
            </w:tcBorders>
            <w:shd w:val="clear" w:color="auto" w:fill="CCF0FC"/>
          </w:tcPr>
          <w:p>
            <w:pPr>
              <w:jc w:val="right"/>
              <w:ind w:right="74"/>
              <w:spacing w:after="0"/>
              <w:rPr>
                <w:sz w:val="20"/>
                <w:szCs w:val="20"/>
                <w:color w:val="auto"/>
              </w:rPr>
            </w:pPr>
            <w:r>
              <w:rPr>
                <w:rFonts w:ascii="Arial" w:cs="Arial" w:eastAsia="Arial" w:hAnsi="Arial"/>
                <w:sz w:val="18"/>
                <w:szCs w:val="18"/>
                <w:b w:val="1"/>
                <w:bCs w:val="1"/>
                <w:color w:val="2B4C9B"/>
              </w:rPr>
              <w:t>1,733</w:t>
            </w:r>
          </w:p>
        </w:tc>
        <w:tc>
          <w:tcPr>
            <w:tcW w:w="580" w:type="dxa"/>
            <w:vAlign w:val="bottom"/>
            <w:tcBorders>
              <w:bottom w:val="single" w:sz="8" w:color="2B4C9B"/>
            </w:tcBorders>
            <w:shd w:val="clear" w:color="auto" w:fill="CCF0FC"/>
          </w:tcPr>
          <w:p>
            <w:pPr>
              <w:spacing w:after="0"/>
              <w:rPr>
                <w:sz w:val="19"/>
                <w:szCs w:val="19"/>
                <w:color w:val="auto"/>
              </w:rPr>
            </w:pPr>
          </w:p>
        </w:tc>
        <w:tc>
          <w:tcPr>
            <w:tcW w:w="1100" w:type="dxa"/>
            <w:vAlign w:val="bottom"/>
            <w:tcBorders>
              <w:bottom w:val="single" w:sz="8" w:color="2B4C9B"/>
            </w:tcBorders>
            <w:shd w:val="clear" w:color="auto" w:fill="CCF0FC"/>
          </w:tcPr>
          <w:p>
            <w:pPr>
              <w:jc w:val="right"/>
              <w:spacing w:after="0"/>
              <w:rPr>
                <w:sz w:val="20"/>
                <w:szCs w:val="20"/>
                <w:color w:val="auto"/>
              </w:rPr>
            </w:pPr>
            <w:r>
              <w:rPr>
                <w:rFonts w:ascii="Arial" w:cs="Arial" w:eastAsia="Arial" w:hAnsi="Arial"/>
                <w:sz w:val="18"/>
                <w:szCs w:val="18"/>
                <w:color w:val="auto"/>
              </w:rPr>
              <w:t>1,266</w:t>
            </w:r>
          </w:p>
        </w:tc>
      </w:tr>
      <w:tr>
        <w:trPr>
          <w:trHeight w:val="236"/>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CONTRIBUTIONS:</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194,649</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116,144</w:t>
            </w:r>
          </w:p>
        </w:tc>
      </w:tr>
      <w:tr>
        <w:trPr>
          <w:trHeight w:val="229"/>
        </w:trPr>
        <w:tc>
          <w:tcPr>
            <w:tcW w:w="7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74,329</w:t>
            </w: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49,899</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Participant rollovers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42,134</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22,925</w:t>
            </w:r>
          </w:p>
        </w:tc>
      </w:tr>
      <w:tr>
        <w:trPr>
          <w:trHeight w:val="223"/>
        </w:trPr>
        <w:tc>
          <w:tcPr>
            <w:tcW w:w="7740" w:type="dxa"/>
            <w:vAlign w:val="bottom"/>
            <w:tcBorders>
              <w:bottom w:val="single" w:sz="8" w:color="2B4C9B"/>
            </w:tcBorders>
            <w:shd w:val="clear" w:color="auto" w:fill="CFF0FC"/>
          </w:tcPr>
          <w:p>
            <w:pPr>
              <w:ind w:left="700"/>
              <w:spacing w:after="0"/>
              <w:rPr>
                <w:sz w:val="20"/>
                <w:szCs w:val="20"/>
                <w:color w:val="auto"/>
              </w:rPr>
            </w:pPr>
            <w:r>
              <w:rPr>
                <w:rFonts w:ascii="Arial" w:cs="Arial" w:eastAsia="Arial" w:hAnsi="Arial"/>
                <w:sz w:val="18"/>
                <w:szCs w:val="18"/>
                <w:color w:val="auto"/>
              </w:rPr>
              <w:t>Total contributions</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311,112</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188,968</w:t>
            </w:r>
          </w:p>
        </w:tc>
      </w:tr>
      <w:tr>
        <w:trPr>
          <w:trHeight w:val="237"/>
        </w:trPr>
        <w:tc>
          <w:tcPr>
            <w:tcW w:w="7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DEDUCTIONS:</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7740" w:type="dxa"/>
            <w:vAlign w:val="bottom"/>
          </w:tcPr>
          <w:p>
            <w:pPr>
              <w:ind w:left="360"/>
              <w:spacing w:after="0"/>
              <w:rPr>
                <w:sz w:val="20"/>
                <w:szCs w:val="20"/>
                <w:color w:val="auto"/>
              </w:rPr>
            </w:pPr>
            <w:r>
              <w:rPr>
                <w:rFonts w:ascii="Arial" w:cs="Arial" w:eastAsia="Arial" w:hAnsi="Arial"/>
                <w:sz w:val="18"/>
                <w:szCs w:val="18"/>
                <w:color w:val="auto"/>
              </w:rPr>
              <w:t>Distributions paid to participants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355,360</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231,640</w:t>
            </w:r>
          </w:p>
        </w:tc>
      </w:tr>
      <w:tr>
        <w:trPr>
          <w:trHeight w:val="229"/>
        </w:trPr>
        <w:tc>
          <w:tcPr>
            <w:tcW w:w="774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Administrative expenses</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1,931</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r>
      <w:tr>
        <w:trPr>
          <w:trHeight w:val="223"/>
        </w:trPr>
        <w:tc>
          <w:tcPr>
            <w:tcW w:w="7740" w:type="dxa"/>
            <w:vAlign w:val="bottom"/>
            <w:tcBorders>
              <w:bottom w:val="single" w:sz="8" w:color="2B4C9B"/>
            </w:tcBorders>
          </w:tcPr>
          <w:p>
            <w:pPr>
              <w:ind w:left="700"/>
              <w:spacing w:after="0"/>
              <w:rPr>
                <w:sz w:val="20"/>
                <w:szCs w:val="20"/>
                <w:color w:val="auto"/>
              </w:rPr>
            </w:pPr>
            <w:r>
              <w:rPr>
                <w:rFonts w:ascii="Arial" w:cs="Arial" w:eastAsia="Arial" w:hAnsi="Arial"/>
                <w:sz w:val="18"/>
                <w:szCs w:val="18"/>
                <w:color w:val="auto"/>
              </w:rPr>
              <w:t>Total deductions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357,291</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232,965</w:t>
            </w:r>
          </w:p>
        </w:tc>
      </w:tr>
      <w:tr>
        <w:trPr>
          <w:trHeight w:val="237"/>
        </w:trPr>
        <w:tc>
          <w:tcPr>
            <w:tcW w:w="77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INCREASE IN NET ASSETS AVAILABLE FOR BENEFITS BEFORE TRANSFERS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573,101</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489,533</w:t>
            </w:r>
          </w:p>
        </w:tc>
      </w:tr>
      <w:tr>
        <w:trPr>
          <w:trHeight w:val="257"/>
        </w:trPr>
        <w:tc>
          <w:tcPr>
            <w:tcW w:w="77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29"/>
        </w:trPr>
        <w:tc>
          <w:tcPr>
            <w:tcW w:w="77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TRANSFERS FROM OTHER PLANS</w:t>
            </w:r>
          </w:p>
        </w:tc>
        <w:tc>
          <w:tcPr>
            <w:tcW w:w="460" w:type="dxa"/>
            <w:vAlign w:val="bottom"/>
            <w:tcBorders>
              <w:bottom w:val="single" w:sz="8" w:color="2B4C9B"/>
            </w:tcBorders>
          </w:tcPr>
          <w:p>
            <w:pPr>
              <w:spacing w:after="0"/>
              <w:rPr>
                <w:sz w:val="19"/>
                <w:szCs w:val="19"/>
                <w:color w:val="auto"/>
              </w:rPr>
            </w:pP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1,071,593</w:t>
            </w:r>
          </w:p>
        </w:tc>
        <w:tc>
          <w:tcPr>
            <w:tcW w:w="580" w:type="dxa"/>
            <w:vAlign w:val="bottom"/>
            <w:tcBorders>
              <w:bottom w:val="single" w:sz="8" w:color="2B4C9B"/>
            </w:tcBorders>
          </w:tcPr>
          <w:p>
            <w:pPr>
              <w:spacing w:after="0"/>
              <w:rPr>
                <w:sz w:val="19"/>
                <w:szCs w:val="19"/>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95,191</w:t>
            </w:r>
          </w:p>
        </w:tc>
      </w:tr>
      <w:tr>
        <w:trPr>
          <w:trHeight w:val="237"/>
        </w:trPr>
        <w:tc>
          <w:tcPr>
            <w:tcW w:w="77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INCREASE IN NET ASSETS AVAILABLE FOR BENEFITS</w:t>
            </w:r>
          </w:p>
        </w:tc>
        <w:tc>
          <w:tcPr>
            <w:tcW w:w="46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2B4C9B"/>
              </w:rPr>
              <w:t>1,644,694</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584,724</w:t>
            </w:r>
          </w:p>
        </w:tc>
      </w:tr>
      <w:tr>
        <w:trPr>
          <w:trHeight w:val="256"/>
        </w:trPr>
        <w:tc>
          <w:tcPr>
            <w:tcW w:w="77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740" w:type="dxa"/>
            <w:vAlign w:val="bottom"/>
            <w:tcBorders>
              <w:bottom w:val="single" w:sz="8" w:color="2B4C9B"/>
            </w:tcBorders>
            <w:shd w:val="clear" w:color="auto" w:fill="CFF0FC"/>
          </w:tcPr>
          <w:p>
            <w:pPr>
              <w:ind w:left="360"/>
              <w:spacing w:after="0"/>
              <w:rPr>
                <w:sz w:val="20"/>
                <w:szCs w:val="20"/>
                <w:color w:val="auto"/>
              </w:rPr>
            </w:pPr>
            <w:r>
              <w:rPr>
                <w:rFonts w:ascii="Arial" w:cs="Arial" w:eastAsia="Arial" w:hAnsi="Arial"/>
                <w:sz w:val="18"/>
                <w:szCs w:val="18"/>
                <w:color w:val="auto"/>
              </w:rPr>
              <w:t>Beginning of year</w:t>
            </w:r>
          </w:p>
        </w:tc>
        <w:tc>
          <w:tcPr>
            <w:tcW w:w="460" w:type="dxa"/>
            <w:vAlign w:val="bottom"/>
            <w:tcBorders>
              <w:bottom w:val="single" w:sz="8" w:color="2B4C9B"/>
            </w:tcBorders>
            <w:shd w:val="clear" w:color="auto" w:fill="CFF0FC"/>
          </w:tcPr>
          <w:p>
            <w:pPr>
              <w:spacing w:after="0"/>
              <w:rPr>
                <w:sz w:val="19"/>
                <w:szCs w:val="19"/>
                <w:color w:val="auto"/>
              </w:rPr>
            </w:pPr>
          </w:p>
        </w:tc>
        <w:tc>
          <w:tcPr>
            <w:tcW w:w="1360" w:type="dxa"/>
            <w:vAlign w:val="bottom"/>
            <w:tcBorders>
              <w:bottom w:val="single" w:sz="8" w:color="2B4C9B"/>
            </w:tcBorders>
            <w:shd w:val="clear" w:color="auto" w:fill="CFF0FC"/>
          </w:tcPr>
          <w:p>
            <w:pPr>
              <w:jc w:val="right"/>
              <w:ind w:right="74"/>
              <w:spacing w:after="0"/>
              <w:rPr>
                <w:sz w:val="20"/>
                <w:szCs w:val="20"/>
                <w:color w:val="auto"/>
              </w:rPr>
            </w:pPr>
            <w:r>
              <w:rPr>
                <w:rFonts w:ascii="Arial" w:cs="Arial" w:eastAsia="Arial" w:hAnsi="Arial"/>
                <w:sz w:val="18"/>
                <w:szCs w:val="18"/>
                <w:b w:val="1"/>
                <w:bCs w:val="1"/>
                <w:color w:val="2B4C9B"/>
              </w:rPr>
              <w:t>3,015,940</w:t>
            </w:r>
          </w:p>
        </w:tc>
        <w:tc>
          <w:tcPr>
            <w:tcW w:w="58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2,431,216</w:t>
            </w:r>
          </w:p>
        </w:tc>
      </w:tr>
      <w:tr>
        <w:trPr>
          <w:trHeight w:val="230"/>
        </w:trPr>
        <w:tc>
          <w:tcPr>
            <w:tcW w:w="774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End of year</w:t>
            </w:r>
          </w:p>
        </w:tc>
        <w:tc>
          <w:tcPr>
            <w:tcW w:w="460" w:type="dxa"/>
            <w:vAlign w:val="bottom"/>
            <w:tcBorders>
              <w:bottom w:val="single" w:sz="8" w:color="2B4C9B"/>
            </w:tcBorders>
          </w:tcPr>
          <w:p>
            <w:pPr>
              <w:jc w:val="right"/>
              <w:ind w:right="250"/>
              <w:spacing w:after="0"/>
              <w:rPr>
                <w:sz w:val="20"/>
                <w:szCs w:val="20"/>
                <w:color w:val="auto"/>
              </w:rPr>
            </w:pPr>
            <w:r>
              <w:rPr>
                <w:rFonts w:ascii="Arial" w:cs="Arial" w:eastAsia="Arial" w:hAnsi="Arial"/>
                <w:sz w:val="18"/>
                <w:szCs w:val="18"/>
                <w:b w:val="1"/>
                <w:bCs w:val="1"/>
                <w:color w:val="2B4C9B"/>
                <w:w w:val="99"/>
              </w:rPr>
              <w:t>$</w:t>
            </w:r>
          </w:p>
        </w:tc>
        <w:tc>
          <w:tcPr>
            <w:tcW w:w="1360" w:type="dxa"/>
            <w:vAlign w:val="bottom"/>
            <w:tcBorders>
              <w:bottom w:val="single" w:sz="8" w:color="2B4C9B"/>
            </w:tcBorders>
          </w:tcPr>
          <w:p>
            <w:pPr>
              <w:jc w:val="right"/>
              <w:ind w:right="74"/>
              <w:spacing w:after="0"/>
              <w:rPr>
                <w:sz w:val="20"/>
                <w:szCs w:val="20"/>
                <w:color w:val="auto"/>
              </w:rPr>
            </w:pPr>
            <w:r>
              <w:rPr>
                <w:rFonts w:ascii="Arial" w:cs="Arial" w:eastAsia="Arial" w:hAnsi="Arial"/>
                <w:sz w:val="18"/>
                <w:szCs w:val="18"/>
                <w:b w:val="1"/>
                <w:bCs w:val="1"/>
                <w:color w:val="2B4C9B"/>
              </w:rPr>
              <w:t>4,660,634</w:t>
            </w:r>
          </w:p>
        </w:tc>
        <w:tc>
          <w:tcPr>
            <w:tcW w:w="580" w:type="dxa"/>
            <w:vAlign w:val="bottom"/>
            <w:tcBorders>
              <w:bottom w:val="single" w:sz="8" w:color="2B4C9B"/>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3,015,940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3 -</w:t>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7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2B4C9B"/>
        </w:rPr>
      </w:pPr>
      <w:r>
        <w:rPr>
          <w:rFonts w:ascii="Arial" w:cs="Arial" w:eastAsia="Arial" w:hAnsi="Arial"/>
          <w:sz w:val="18"/>
          <w:szCs w:val="18"/>
          <w:b w:val="1"/>
          <w:bCs w:val="1"/>
          <w:color w:val="2B4C9B"/>
        </w:rPr>
        <w:t>DESCRIPTION OF THE PLAN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brief description of the Science Applications International Corporation Retirement Plan (the “Plan”) is for general information purposes only. Participants should refer to the Plan document and the Summary Plan Description for complete information regarding the Plan. Within these financial statements, Science Applications International Corporation (the “Company”) refers to the sponsoring employer.</w:t>
      </w:r>
    </w:p>
    <w:p>
      <w:pPr>
        <w:spacing w:after="0" w:line="15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General</w:t>
      </w:r>
      <w:r>
        <w:rPr>
          <w:rFonts w:ascii="Arial" w:cs="Arial" w:eastAsia="Arial" w:hAnsi="Arial"/>
          <w:sz w:val="18"/>
          <w:szCs w:val="18"/>
          <w:color w:val="000000"/>
        </w:rPr>
        <w:t>—The Plan is a defined contribution plan sponsored by the Company and is subject to the provisions of the Employee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Retirement Income Security Act of 1974, as amended (“ERISA”). The Plan is a 401(k) plan with profit-sharing and employee stock ownership plan (“ESOP”) features. Both employee and Company contributions to the Plan are held in a qualified retirement trust fund. The Science Applications International Corporation Benefit Plans Committee is the Plan’s named fiduciary for purposes of Section 402(a) of ERISA.</w:t>
      </w:r>
    </w:p>
    <w:p>
      <w:pPr>
        <w:spacing w:after="0" w:line="13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Investment Funds</w:t>
      </w:r>
      <w:r>
        <w:rPr>
          <w:rFonts w:ascii="Arial" w:cs="Arial" w:eastAsia="Arial" w:hAnsi="Arial"/>
          <w:sz w:val="18"/>
          <w:szCs w:val="18"/>
          <w:color w:val="000000"/>
        </w:rPr>
        <w:t>—As of December 31, 2020, the Plan held investments in 8 mutual funds, 19 common collective trust funds, a self-directed brokerage fund, and 2 Company stock funds: the SAIC Common Stock Fund and the SAIC Closed Stock Fund (collectively, the “Stock Funds”). All amounts in the Stock Funds are invested in Science Applications International Corporation common stock, except for estimated cash reserves, which are invested in the Vanguard Federal Money Market Fund and are primarily used to provide future benefit distributions and facilitate investment exchanges.</w:t>
      </w:r>
    </w:p>
    <w:p>
      <w:pPr>
        <w:spacing w:after="0" w:line="13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Eligibility</w:t>
      </w:r>
      <w:r>
        <w:rPr>
          <w:rFonts w:ascii="Arial" w:cs="Arial" w:eastAsia="Arial" w:hAnsi="Arial"/>
          <w:sz w:val="18"/>
          <w:szCs w:val="18"/>
          <w:color w:val="000000"/>
        </w:rPr>
        <w:t>—Employees of the Company are eligible to participate in the Plan. Employees must be in an eligible fringe benefit package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to be eligible to receive Company matching 401(k) contributions. Generally, employees may make elective contributions and receive Company matching 401(k) contributions upon commencing employment.</w:t>
      </w:r>
    </w:p>
    <w:p>
      <w:pPr>
        <w:spacing w:after="0" w:line="144"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Participant Contributions</w:t>
      </w:r>
      <w:r>
        <w:rPr>
          <w:rFonts w:ascii="Arial" w:cs="Arial" w:eastAsia="Arial" w:hAnsi="Arial"/>
          <w:sz w:val="18"/>
          <w:szCs w:val="18"/>
          <w:color w:val="000000"/>
        </w:rPr>
        <w:t>—The Plan permits participants to contribute up to 75% of their eligible compensation to the Plan, subject to</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statutory limitations. Participants may also contribute amounts representing rollovers from other qualified plans. Participant contributions are invested according to participant direction into any of the available investment funds of the Plan. Participant contributions and rollovers to the SAIC Common Stock Fund are limited to a maximum of 50% of the employee deferral or rollover, as applicable.</w:t>
      </w:r>
    </w:p>
    <w:p>
      <w:pPr>
        <w:spacing w:after="0" w:line="139"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b w:val="1"/>
          <w:bCs w:val="1"/>
          <w:i w:val="1"/>
          <w:iCs w:val="1"/>
          <w:color w:val="2B4C9B"/>
        </w:rPr>
        <w:t>Employer Contributions</w:t>
      </w:r>
      <w:r>
        <w:rPr>
          <w:rFonts w:ascii="Arial" w:cs="Arial" w:eastAsia="Arial" w:hAnsi="Arial"/>
          <w:sz w:val="18"/>
          <w:szCs w:val="18"/>
          <w:color w:val="000000"/>
        </w:rPr>
        <w:t>—The Company may make matching 401(k) contributions. Eligible participants may receive Company</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matching 401(k) contributions based on a percentage (up to a maximum match percentage of 4%), depending on the fringe benefit package, which are invested per participant direction. Company contributions to the Plan for the Plan years ended December 31, 2020 and 2019 were made in cash. The Company, at its discretion, may also make additional contributions to the Plan for the benefit of non-highly compensated participants in order to comply with Section 401(k) (3) of the Internal Revenue Code ("IRC"); however, the Company made no such additional contributions for the Plan years ended December 31, 2020 and 2019.</w:t>
      </w:r>
    </w:p>
    <w:p>
      <w:pPr>
        <w:spacing w:after="0" w:line="142"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Participant Accounts</w:t>
      </w:r>
      <w:r>
        <w:rPr>
          <w:rFonts w:ascii="Arial" w:cs="Arial" w:eastAsia="Arial" w:hAnsi="Arial"/>
          <w:sz w:val="18"/>
          <w:szCs w:val="18"/>
          <w:color w:val="000000"/>
        </w:rPr>
        <w:t>—In accordance with Plan provisions, individual accounts are maintained for each Plan participant. Each</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participant’s account is credited with the participant’s contributions, and if eligible, allocations of Company contributions. Allocations are based on participant eligible compensation, as defined in the Plan document. Participant accounts also reflect changes from investment income and losses and from distributions. The benefit to which a participant is entitled is the vested balance of his or her account.</w:t>
      </w:r>
    </w:p>
    <w:p>
      <w:pPr>
        <w:spacing w:after="0" w:line="149"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Plan Amendments and Termination</w:t>
      </w:r>
      <w:r>
        <w:rPr>
          <w:rFonts w:ascii="Arial" w:cs="Arial" w:eastAsia="Arial" w:hAnsi="Arial"/>
          <w:sz w:val="18"/>
          <w:szCs w:val="18"/>
          <w:color w:val="000000"/>
        </w:rPr>
        <w:t>—In connection with the Company's acquisition of Engility Corporation during the year ended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December 31, 2019, on December 19, 2019, the Plan was amended to merge the Engility Master Savings Plan ("MSP") into the Plan and to adopt certain other provisions regarding vesting of MSP balances and timing of Company contributions, effective January 1, 2020.</w:t>
      </w:r>
    </w:p>
    <w:p>
      <w:pPr>
        <w:spacing w:after="0" w:line="158" w:lineRule="exact"/>
        <w:rPr>
          <w:sz w:val="20"/>
          <w:szCs w:val="20"/>
          <w:color w:val="auto"/>
        </w:rPr>
      </w:pPr>
    </w:p>
    <w:p>
      <w:pPr>
        <w:jc w:val="both"/>
        <w:ind w:left="460"/>
        <w:spacing w:after="0" w:line="261" w:lineRule="auto"/>
        <w:rPr>
          <w:sz w:val="20"/>
          <w:szCs w:val="20"/>
          <w:color w:val="auto"/>
        </w:rPr>
      </w:pPr>
      <w:r>
        <w:rPr>
          <w:rFonts w:ascii="Arial" w:cs="Arial" w:eastAsia="Arial" w:hAnsi="Arial"/>
          <w:sz w:val="18"/>
          <w:szCs w:val="18"/>
          <w:color w:val="auto"/>
        </w:rPr>
        <w:t>Effective February 20, 2020, the Plan was amended to authorize special disaster distributions to eligible participants who are residents of Puerto Rico.</w:t>
      </w:r>
    </w:p>
    <w:p>
      <w:pPr>
        <w:spacing w:after="0" w:line="157" w:lineRule="exact"/>
        <w:rPr>
          <w:sz w:val="20"/>
          <w:szCs w:val="20"/>
          <w:color w:val="auto"/>
        </w:rPr>
      </w:pPr>
    </w:p>
    <w:p>
      <w:pPr>
        <w:jc w:val="both"/>
        <w:ind w:left="460"/>
        <w:spacing w:after="0" w:line="261" w:lineRule="auto"/>
        <w:rPr>
          <w:sz w:val="20"/>
          <w:szCs w:val="20"/>
          <w:color w:val="auto"/>
        </w:rPr>
      </w:pPr>
      <w:r>
        <w:rPr>
          <w:rFonts w:ascii="Arial" w:cs="Arial" w:eastAsia="Arial" w:hAnsi="Arial"/>
          <w:sz w:val="18"/>
          <w:szCs w:val="18"/>
          <w:color w:val="auto"/>
        </w:rPr>
        <w:t>Although it has not expressed any intent to do so, the Company has the right under the Plan to discontinue its contributions and to terminate the Plan at any time subject to the provisions of ERISA.</w:t>
      </w:r>
    </w:p>
    <w:p>
      <w:pPr>
        <w:spacing w:after="0" w:line="14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b w:val="1"/>
          <w:bCs w:val="1"/>
          <w:i w:val="1"/>
          <w:iCs w:val="1"/>
          <w:color w:val="2B4C9B"/>
        </w:rPr>
        <w:t>Vesting and Forfeitures</w:t>
      </w:r>
      <w:r>
        <w:rPr>
          <w:rFonts w:ascii="Arial" w:cs="Arial" w:eastAsia="Arial" w:hAnsi="Arial"/>
          <w:sz w:val="18"/>
          <w:szCs w:val="18"/>
          <w:color w:val="000000"/>
        </w:rPr>
        <w:t>—Participants’ elective deferrals, rollover contributions and Company contributions together with associated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earnings vest immediately. Company contributions included in participants' balances in the MSP that were merged into the Plan will continue to vest according the vesting schedule in the MSP prior to</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4 -</w:t>
      </w:r>
    </w:p>
    <w:p>
      <w:pPr>
        <w:sectPr>
          <w:pgSz w:w="11900" w:h="16838" w:orient="portrait"/>
          <w:cols w:equalWidth="0" w:num="1">
            <w:col w:w="11240"/>
          </w:cols>
          <w:pgMar w:left="320" w:top="118" w:right="3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the merger, which is as follows: less than one year of service, 0%; 1 year service, 25%; 2 years of service, 50%; and 3 years of service, 100%.</w:t>
      </w:r>
    </w:p>
    <w:p>
      <w:pPr>
        <w:spacing w:after="0" w:line="203"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—Participants may borrow up to 50% of their vested account balance, up to a maximum of</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$50,000. Loan repayment periods may not exceed 60 months except for loans used to acquire a principal residence, in which case the repayment period may not exceed 30 years. If a participant defaults on a loan, it becomes a deemed distribution from the Plan to the participant. The loans bear interest at a rate commensurate with local prevailing rates as determined monthly by the Plan administrator. Principal and interest are collected ratably through payroll deductions.</w:t>
      </w:r>
    </w:p>
    <w:p>
      <w:pPr>
        <w:spacing w:after="0" w:line="152"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b w:val="1"/>
          <w:bCs w:val="1"/>
          <w:i w:val="1"/>
          <w:iCs w:val="1"/>
          <w:color w:val="2B4C9B"/>
        </w:rPr>
        <w:t>Distributions to Participants</w:t>
      </w:r>
      <w:r>
        <w:rPr>
          <w:rFonts w:ascii="Arial" w:cs="Arial" w:eastAsia="Arial" w:hAnsi="Arial"/>
          <w:sz w:val="18"/>
          <w:szCs w:val="18"/>
          <w:color w:val="000000"/>
        </w:rPr>
        <w:t>—For vested account balances less than $1,000, participants receive their vested account balance in a</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single lump sum following termination of employment with the Company. For vested account balances between $1,000 and $5,000, a participant’s vested account balance is automatically rolled over into an Individual Retirement Account. For vested account balances that exceed $5,000, balances are not distributed unless the participant elects to take a distribution following the participant’s termination of employment with the Company. Regardless of the existing account balance, distributions are made when participants die or become permanently disabled while employed by the Company. After attaining the age of 59-1/2, a participant may make withdrawals even if still employed by the Company. Participants may make withdrawals from the Plan prior to attaining the age of 59-1/2 from their rollover account or if the participant incurs a financial hardship, as specified by the Plan document. Former employees, regardless of their age, may elect to receive up to two distributions in any given Plan year, of all or a portion of their account balance.</w:t>
      </w:r>
    </w:p>
    <w:p>
      <w:pPr>
        <w:spacing w:after="0" w:line="140"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b w:val="1"/>
          <w:bCs w:val="1"/>
          <w:i w:val="1"/>
          <w:iCs w:val="1"/>
          <w:color w:val="2B4C9B"/>
        </w:rPr>
        <w:t>Tax Status</w:t>
      </w:r>
      <w:r>
        <w:rPr>
          <w:rFonts w:ascii="Arial" w:cs="Arial" w:eastAsia="Arial" w:hAnsi="Arial"/>
          <w:sz w:val="18"/>
          <w:szCs w:val="18"/>
          <w:color w:val="000000"/>
        </w:rPr>
        <w:t>—The Internal Revenue Service (“IRS”) has determined and informed the Company by a letter dated February 28, 2014,</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that the Plan was designed in accordance with the applicable requirements of the IRC. Although the Plan has been amended since receiving the determination letter, the Company and the Plan’s tax counsel believe that the Plan is designed, and is currently being operated, in compliance with the applicable requirements of the IRC and, therefore, believe that the Plan is qualified, and the related trust is tax-exempt. Accordingly, no provision for income taxes has been included in the Plan’s financial statements. Management recognizes tax liabilities for uncertainty in income taxes when it is more likely than not that a tax position would not be sustained upon examination by and settlement with the IRS. The Plan is subject to routine audits by taxing jurisdictions, and the Company's tax returns for its fiscal years 2016 and 2017 (generally corresponding to Plan years 2015 and 2016) are currently under audit by the IRS. Management believes it is no longer subject to income tax examinations for Plan years prior to 2015.</w:t>
      </w:r>
    </w:p>
    <w:p>
      <w:pPr>
        <w:spacing w:after="0" w:line="140"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b w:val="1"/>
          <w:bCs w:val="1"/>
          <w:i w:val="1"/>
          <w:iCs w:val="1"/>
          <w:color w:val="2B4C9B"/>
        </w:rPr>
        <w:t>Related-Party Transactions</w:t>
      </w:r>
      <w:r>
        <w:rPr>
          <w:rFonts w:ascii="Arial" w:cs="Arial" w:eastAsia="Arial" w:hAnsi="Arial"/>
          <w:sz w:val="18"/>
          <w:szCs w:val="18"/>
          <w:color w:val="000000"/>
        </w:rPr>
        <w:t>—Certain Plan investments are managed by The Vanguard Group, the Plan’s record-keeper; therefore,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transactions with these investments qualify as party-in-interest transactions. Fees paid to the record-keeper were approximately $1,760,000 and $1,325,000 for the years ended December 31, 2020 and 2019, respectively. There were no amounts payable to the Plan’s record-keeper as of December 31, 2020 and 2019. Members of the Science Applications International Corporation Benefit Plans Committee also participate in the Plan and qualify as parties-in-interest.</w:t>
      </w:r>
    </w:p>
    <w:p>
      <w:pPr>
        <w:spacing w:after="0" w:line="174" w:lineRule="exact"/>
        <w:rPr>
          <w:sz w:val="20"/>
          <w:szCs w:val="20"/>
          <w:color w:val="auto"/>
        </w:rPr>
      </w:pPr>
    </w:p>
    <w:p>
      <w:pPr>
        <w:jc w:val="both"/>
        <w:ind w:left="380"/>
        <w:spacing w:after="0" w:line="261" w:lineRule="auto"/>
        <w:rPr>
          <w:sz w:val="20"/>
          <w:szCs w:val="20"/>
          <w:color w:val="auto"/>
        </w:rPr>
      </w:pPr>
      <w:r>
        <w:rPr>
          <w:rFonts w:ascii="Arial" w:cs="Arial" w:eastAsia="Arial" w:hAnsi="Arial"/>
          <w:sz w:val="18"/>
          <w:szCs w:val="18"/>
          <w:color w:val="auto"/>
        </w:rPr>
        <w:t>Science Applications International Corporation is the sponsoring employer as of December 31, 2020 and 2019. At December 31, 2020 and 2019, the following Science Applications International Corporation shares were held by the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420" w:type="dxa"/>
            <w:vAlign w:val="bottom"/>
            <w:tcBorders>
              <w:bottom w:val="single" w:sz="8" w:color="2B4C9B"/>
            </w:tcBorders>
          </w:tcPr>
          <w:p>
            <w:pPr>
              <w:jc w:val="right"/>
              <w:ind w:right="44"/>
              <w:spacing w:after="0"/>
              <w:rPr>
                <w:sz w:val="20"/>
                <w:szCs w:val="20"/>
                <w:color w:val="auto"/>
              </w:rPr>
            </w:pPr>
            <w:r>
              <w:rPr>
                <w:rFonts w:ascii="Arial" w:cs="Arial" w:eastAsia="Arial" w:hAnsi="Arial"/>
                <w:sz w:val="14"/>
                <w:szCs w:val="14"/>
                <w:b w:val="1"/>
                <w:bCs w:val="1"/>
                <w:color w:val="2B4C9B"/>
              </w:rPr>
              <w:t>2020</w:t>
            </w:r>
          </w:p>
        </w:tc>
        <w:tc>
          <w:tcPr>
            <w:tcW w:w="880" w:type="dxa"/>
            <w:vAlign w:val="bottom"/>
            <w:tcBorders>
              <w:bottom w:val="single" w:sz="8" w:color="2B4C9B"/>
            </w:tcBorders>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2B4C9B"/>
            </w:tcBorders>
          </w:tcPr>
          <w:p>
            <w:pPr>
              <w:jc w:val="right"/>
              <w:ind w:right="64"/>
              <w:spacing w:after="0"/>
              <w:rPr>
                <w:sz w:val="20"/>
                <w:szCs w:val="20"/>
                <w:color w:val="auto"/>
              </w:rPr>
            </w:pPr>
            <w:r>
              <w:rPr>
                <w:rFonts w:ascii="Arial" w:cs="Arial" w:eastAsia="Arial" w:hAnsi="Arial"/>
                <w:sz w:val="14"/>
                <w:szCs w:val="14"/>
                <w:color w:val="auto"/>
              </w:rPr>
              <w:t>2019</w:t>
            </w:r>
          </w:p>
        </w:tc>
        <w:tc>
          <w:tcPr>
            <w:tcW w:w="860" w:type="dxa"/>
            <w:vAlign w:val="bottom"/>
            <w:tcBorders>
              <w:bottom w:val="single" w:sz="8" w:color="2B4C9B"/>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420" w:type="dxa"/>
            <w:vAlign w:val="bottom"/>
          </w:tcPr>
          <w:p>
            <w:pPr>
              <w:jc w:val="right"/>
              <w:ind w:right="284"/>
              <w:spacing w:after="0" w:line="142" w:lineRule="exact"/>
              <w:rPr>
                <w:sz w:val="20"/>
                <w:szCs w:val="20"/>
                <w:color w:val="auto"/>
              </w:rPr>
            </w:pPr>
            <w:r>
              <w:rPr>
                <w:rFonts w:ascii="Arial" w:cs="Arial" w:eastAsia="Arial" w:hAnsi="Arial"/>
                <w:sz w:val="14"/>
                <w:szCs w:val="14"/>
                <w:b w:val="1"/>
                <w:bCs w:val="1"/>
                <w:color w:val="2B4C9B"/>
              </w:rPr>
              <w:t>Number of</w:t>
            </w: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2B4C9B"/>
              </w:rPr>
              <w:t>Cost Basis</w:t>
            </w:r>
          </w:p>
        </w:tc>
        <w:tc>
          <w:tcPr>
            <w:tcW w:w="1440" w:type="dxa"/>
            <w:vAlign w:val="bottom"/>
          </w:tcPr>
          <w:p>
            <w:pPr>
              <w:jc w:val="right"/>
              <w:ind w:right="304"/>
              <w:spacing w:after="0" w:line="142" w:lineRule="exact"/>
              <w:rPr>
                <w:sz w:val="20"/>
                <w:szCs w:val="20"/>
                <w:color w:val="auto"/>
              </w:rPr>
            </w:pPr>
            <w:r>
              <w:rPr>
                <w:rFonts w:ascii="Arial" w:cs="Arial" w:eastAsia="Arial" w:hAnsi="Arial"/>
                <w:sz w:val="14"/>
                <w:szCs w:val="14"/>
                <w:color w:val="auto"/>
              </w:rPr>
              <w:t>Number of</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Cost Basis</w:t>
            </w: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1420" w:type="dxa"/>
            <w:vAlign w:val="bottom"/>
            <w:tcBorders>
              <w:bottom w:val="single" w:sz="8" w:color="2B4C9B"/>
            </w:tcBorders>
          </w:tcPr>
          <w:p>
            <w:pPr>
              <w:jc w:val="right"/>
              <w:ind w:right="284"/>
              <w:spacing w:after="0"/>
              <w:rPr>
                <w:sz w:val="20"/>
                <w:szCs w:val="20"/>
                <w:color w:val="auto"/>
              </w:rPr>
            </w:pPr>
            <w:r>
              <w:rPr>
                <w:rFonts w:ascii="Arial" w:cs="Arial" w:eastAsia="Arial" w:hAnsi="Arial"/>
                <w:sz w:val="14"/>
                <w:szCs w:val="14"/>
                <w:b w:val="1"/>
                <w:bCs w:val="1"/>
                <w:color w:val="2B4C9B"/>
              </w:rPr>
              <w:t>Shares</w:t>
            </w:r>
          </w:p>
        </w:tc>
        <w:tc>
          <w:tcPr>
            <w:tcW w:w="1020" w:type="dxa"/>
            <w:vAlign w:val="bottom"/>
            <w:tcBorders>
              <w:bottom w:val="single" w:sz="8" w:color="2B4C9B"/>
            </w:tcBorders>
            <w:gridSpan w:val="2"/>
            <w:vMerge w:val="continue"/>
          </w:tcPr>
          <w:p>
            <w:pPr>
              <w:spacing w:after="0"/>
              <w:rPr>
                <w:sz w:val="15"/>
                <w:szCs w:val="15"/>
                <w:color w:val="auto"/>
              </w:rPr>
            </w:pPr>
          </w:p>
        </w:tc>
        <w:tc>
          <w:tcPr>
            <w:tcW w:w="1440" w:type="dxa"/>
            <w:vAlign w:val="bottom"/>
            <w:tcBorders>
              <w:bottom w:val="single" w:sz="8" w:color="2B4C9B"/>
            </w:tcBorders>
          </w:tcPr>
          <w:p>
            <w:pPr>
              <w:jc w:val="right"/>
              <w:ind w:right="304"/>
              <w:spacing w:after="0"/>
              <w:rPr>
                <w:sz w:val="20"/>
                <w:szCs w:val="20"/>
                <w:color w:val="auto"/>
              </w:rPr>
            </w:pPr>
            <w:r>
              <w:rPr>
                <w:rFonts w:ascii="Arial" w:cs="Arial" w:eastAsia="Arial" w:hAnsi="Arial"/>
                <w:sz w:val="14"/>
                <w:szCs w:val="14"/>
                <w:color w:val="auto"/>
              </w:rPr>
              <w:t>Shares</w:t>
            </w:r>
          </w:p>
        </w:tc>
        <w:tc>
          <w:tcPr>
            <w:tcW w:w="860" w:type="dxa"/>
            <w:vAlign w:val="bottom"/>
            <w:tcBorders>
              <w:bottom w:val="single" w:sz="8" w:color="2B4C9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60" w:type="dxa"/>
            <w:vAlign w:val="bottom"/>
            <w:gridSpan w:val="3"/>
          </w:tcPr>
          <w:p>
            <w:pPr>
              <w:jc w:val="right"/>
              <w:ind w:right="984"/>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Science Applications International Corporation common stock</w:t>
            </w:r>
          </w:p>
        </w:tc>
        <w:tc>
          <w:tcPr>
            <w:tcW w:w="1420" w:type="dxa"/>
            <w:vAlign w:val="bottom"/>
            <w:shd w:val="clear" w:color="auto" w:fill="CFF0FC"/>
          </w:tcPr>
          <w:p>
            <w:pPr>
              <w:jc w:val="right"/>
              <w:ind w:right="284"/>
              <w:spacing w:after="0"/>
              <w:rPr>
                <w:sz w:val="20"/>
                <w:szCs w:val="20"/>
                <w:color w:val="auto"/>
              </w:rPr>
            </w:pPr>
            <w:r>
              <w:rPr>
                <w:rFonts w:ascii="Arial" w:cs="Arial" w:eastAsia="Arial" w:hAnsi="Arial"/>
                <w:sz w:val="18"/>
                <w:szCs w:val="18"/>
                <w:b w:val="1"/>
                <w:bCs w:val="1"/>
                <w:color w:val="2B4C9B"/>
              </w:rPr>
              <w:t>1,156</w:t>
            </w:r>
          </w:p>
        </w:tc>
        <w:tc>
          <w:tcPr>
            <w:tcW w:w="880" w:type="dxa"/>
            <w:vAlign w:val="bottom"/>
            <w:shd w:val="clear" w:color="auto" w:fill="CFF0FC"/>
          </w:tcPr>
          <w:p>
            <w:pPr>
              <w:jc w:val="right"/>
              <w:ind w:right="2"/>
              <w:spacing w:after="0"/>
              <w:rPr>
                <w:sz w:val="20"/>
                <w:szCs w:val="20"/>
                <w:color w:val="auto"/>
              </w:rPr>
            </w:pPr>
            <w:r>
              <w:rPr>
                <w:rFonts w:ascii="Arial" w:cs="Arial" w:eastAsia="Arial" w:hAnsi="Arial"/>
                <w:sz w:val="18"/>
                <w:szCs w:val="18"/>
                <w:b w:val="1"/>
                <w:bCs w:val="1"/>
                <w:color w:val="2B4C9B"/>
              </w:rPr>
              <w:t>$56,076</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4"/>
              <w:spacing w:after="0"/>
              <w:rPr>
                <w:sz w:val="20"/>
                <w:szCs w:val="20"/>
                <w:color w:val="auto"/>
              </w:rPr>
            </w:pPr>
            <w:r>
              <w:rPr>
                <w:rFonts w:ascii="Arial" w:cs="Arial" w:eastAsia="Arial" w:hAnsi="Arial"/>
                <w:sz w:val="18"/>
                <w:szCs w:val="18"/>
                <w:color w:val="auto"/>
              </w:rPr>
              <w:t>1,257</w:t>
            </w:r>
          </w:p>
        </w:tc>
        <w:tc>
          <w:tcPr>
            <w:tcW w:w="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$58,921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b w:val="1"/>
          <w:bCs w:val="1"/>
          <w:i w:val="1"/>
          <w:iCs w:val="1"/>
          <w:color w:val="2B4C9B"/>
        </w:rPr>
        <w:t>Transfers from Other Plans</w:t>
      </w:r>
      <w:r>
        <w:rPr>
          <w:rFonts w:ascii="Arial" w:cs="Arial" w:eastAsia="Arial" w:hAnsi="Arial"/>
          <w:sz w:val="18"/>
          <w:szCs w:val="18"/>
          <w:color w:val="000000"/>
        </w:rPr>
        <w:t>—In connection with the merger of the MSP into the Plan, assets totaling approximately $1,071,593,000</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and $95,191,000 were transferred into the Plan during the years ended December 31, 2020 and 2019, respectively.</w:t>
      </w:r>
    </w:p>
    <w:p>
      <w:pPr>
        <w:spacing w:after="0" w:line="112" w:lineRule="exact"/>
        <w:rPr>
          <w:sz w:val="20"/>
          <w:szCs w:val="20"/>
          <w:color w:val="auto"/>
        </w:rPr>
      </w:pPr>
    </w:p>
    <w:p>
      <w:pPr>
        <w:jc w:val="both"/>
        <w:ind w:left="380"/>
        <w:spacing w:after="0" w:line="268" w:lineRule="auto"/>
        <w:rPr>
          <w:sz w:val="20"/>
          <w:szCs w:val="20"/>
          <w:color w:val="auto"/>
        </w:rPr>
      </w:pPr>
      <w:r>
        <w:rPr>
          <w:rFonts w:ascii="Arial" w:cs="Arial" w:eastAsia="Arial" w:hAnsi="Arial"/>
          <w:sz w:val="18"/>
          <w:szCs w:val="18"/>
          <w:b w:val="1"/>
          <w:bCs w:val="1"/>
          <w:i w:val="1"/>
          <w:iCs w:val="1"/>
          <w:color w:val="2B4C9B"/>
        </w:rPr>
        <w:t>COVID-19 Impact</w:t>
      </w:r>
      <w:r>
        <w:rPr>
          <w:rFonts w:ascii="Arial" w:cs="Arial" w:eastAsia="Arial" w:hAnsi="Arial"/>
          <w:sz w:val="18"/>
          <w:szCs w:val="18"/>
          <w:color w:val="000000"/>
        </w:rPr>
        <w:t>—In March 2020, the World Health Organization (“WHO”) categorized Coronavirus Disease 2019 (“COVID-19”) as a</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pandemic. Following the WHO’s declaration, the United States government passed the “Coronavirus Aid, Relief, and Economic Security (CARES) Act” on March 27, 2020. The CARES Act provides for</w:t>
      </w:r>
    </w:p>
    <w:p>
      <w:pPr>
        <w:spacing w:after="0" w:line="31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5 -</w:t>
      </w:r>
    </w:p>
    <w:p>
      <w:pPr>
        <w:sectPr>
          <w:pgSz w:w="11900" w:h="16838" w:orient="portrait"/>
          <w:cols w:equalWidth="0" w:num="1">
            <w:col w:w="11160"/>
          </w:cols>
          <w:pgMar w:left="40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various forms of relief for qualifying Plan participants including penalty-free distributions, increased limits for plan loans, suspension of loan payments for up to one year, and delaying required minimum distributions. The Plan has implemented these changes.</w:t>
      </w:r>
    </w:p>
    <w:p>
      <w:pPr>
        <w:spacing w:after="0" w:line="39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2B4C9B"/>
        </w:rPr>
      </w:pPr>
      <w:r>
        <w:rPr>
          <w:rFonts w:ascii="Arial" w:cs="Arial" w:eastAsia="Arial" w:hAnsi="Arial"/>
          <w:sz w:val="18"/>
          <w:szCs w:val="18"/>
          <w:b w:val="1"/>
          <w:bCs w:val="1"/>
          <w:color w:val="2B4C9B"/>
        </w:rPr>
        <w:t>SIGNIFICANT ACCOUNTING POLICIES</w:t>
      </w:r>
    </w:p>
    <w:p>
      <w:pPr>
        <w:spacing w:after="0" w:line="252" w:lineRule="exact"/>
        <w:rPr>
          <w:sz w:val="20"/>
          <w:szCs w:val="20"/>
          <w:color w:val="auto"/>
        </w:rPr>
      </w:pPr>
    </w:p>
    <w:p>
      <w:pPr>
        <w:ind w:left="460"/>
        <w:spacing w:after="0" w:line="287" w:lineRule="auto"/>
        <w:rPr>
          <w:sz w:val="20"/>
          <w:szCs w:val="20"/>
          <w:color w:val="auto"/>
        </w:rPr>
      </w:pPr>
      <w:r>
        <w:rPr>
          <w:rFonts w:ascii="Arial" w:cs="Arial" w:eastAsia="Arial" w:hAnsi="Arial"/>
          <w:sz w:val="18"/>
          <w:szCs w:val="18"/>
          <w:b w:val="1"/>
          <w:bCs w:val="1"/>
          <w:i w:val="1"/>
          <w:iCs w:val="1"/>
          <w:color w:val="2B4C9B"/>
        </w:rPr>
        <w:t>Basis of Accounting</w:t>
      </w:r>
      <w:r>
        <w:rPr>
          <w:rFonts w:ascii="Arial" w:cs="Arial" w:eastAsia="Arial" w:hAnsi="Arial"/>
          <w:sz w:val="18"/>
          <w:szCs w:val="18"/>
          <w:color w:val="000000"/>
        </w:rPr>
        <w:t>—The Plan’s financial statements are prepared in accordance with accounting principles generally accepted in</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the United States of America (“GAAP”).</w:t>
      </w:r>
    </w:p>
    <w:p>
      <w:pPr>
        <w:spacing w:after="0" w:line="180" w:lineRule="exact"/>
        <w:rPr>
          <w:sz w:val="20"/>
          <w:szCs w:val="20"/>
          <w:color w:val="auto"/>
        </w:rPr>
      </w:pPr>
    </w:p>
    <w:p>
      <w:pPr>
        <w:ind w:left="460" w:right="20"/>
        <w:spacing w:after="0" w:line="287" w:lineRule="auto"/>
        <w:rPr>
          <w:sz w:val="20"/>
          <w:szCs w:val="20"/>
          <w:color w:val="auto"/>
        </w:rPr>
      </w:pPr>
      <w:r>
        <w:rPr>
          <w:rFonts w:ascii="Arial" w:cs="Arial" w:eastAsia="Arial" w:hAnsi="Arial"/>
          <w:sz w:val="18"/>
          <w:szCs w:val="18"/>
          <w:b w:val="1"/>
          <w:bCs w:val="1"/>
          <w:i w:val="1"/>
          <w:iCs w:val="1"/>
          <w:color w:val="2B4C9B"/>
        </w:rPr>
        <w:t>Investment Valuation and Income Recognition</w:t>
      </w:r>
      <w:r>
        <w:rPr>
          <w:rFonts w:ascii="Arial" w:cs="Arial" w:eastAsia="Arial" w:hAnsi="Arial"/>
          <w:sz w:val="18"/>
          <w:szCs w:val="18"/>
          <w:color w:val="000000"/>
        </w:rPr>
        <w:t>—Investments held by the Plan are carried at fair value. Valuation and income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recognition policies are as follows: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Investment in Mutual Funds</w:t>
      </w:r>
      <w:r>
        <w:rPr>
          <w:rFonts w:ascii="Arial" w:cs="Arial" w:eastAsia="Arial" w:hAnsi="Arial"/>
          <w:sz w:val="18"/>
          <w:szCs w:val="18"/>
          <w:color w:val="auto"/>
        </w:rPr>
        <w:t>—The Plan’s investments in mutual funds are stated at fair value based on quoted market prices.</w:t>
      </w:r>
    </w:p>
    <w:p>
      <w:pPr>
        <w:spacing w:after="0" w:line="252" w:lineRule="exact"/>
        <w:rPr>
          <w:sz w:val="20"/>
          <w:szCs w:val="20"/>
          <w:color w:val="auto"/>
        </w:rPr>
      </w:pPr>
    </w:p>
    <w:p>
      <w:pPr>
        <w:jc w:val="both"/>
        <w:ind w:left="900" w:right="20"/>
        <w:spacing w:after="0" w:line="282" w:lineRule="auto"/>
        <w:rPr>
          <w:sz w:val="20"/>
          <w:szCs w:val="20"/>
          <w:color w:val="auto"/>
        </w:rPr>
      </w:pPr>
      <w:r>
        <w:rPr>
          <w:rFonts w:ascii="Arial" w:cs="Arial" w:eastAsia="Arial" w:hAnsi="Arial"/>
          <w:sz w:val="18"/>
          <w:szCs w:val="18"/>
          <w:i w:val="1"/>
          <w:iCs w:val="1"/>
          <w:color w:val="auto"/>
        </w:rPr>
        <w:t>Investment in Common Collective Trusts</w:t>
      </w:r>
      <w:r>
        <w:rPr>
          <w:rFonts w:ascii="Arial" w:cs="Arial" w:eastAsia="Arial" w:hAnsi="Arial"/>
          <w:sz w:val="18"/>
          <w:szCs w:val="18"/>
          <w:color w:val="auto"/>
        </w:rPr>
        <w:t>—The Plan's investments in common collective trusts are carried at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(“NAV”) per unit, which is determined by the trustee using the fair value of the underlying investments.</w:t>
      </w:r>
    </w:p>
    <w:p>
      <w:pPr>
        <w:spacing w:after="0" w:line="189" w:lineRule="exact"/>
        <w:rPr>
          <w:sz w:val="20"/>
          <w:szCs w:val="20"/>
          <w:color w:val="auto"/>
        </w:rPr>
      </w:pPr>
    </w:p>
    <w:p>
      <w:pPr>
        <w:jc w:val="both"/>
        <w:ind w:left="900"/>
        <w:spacing w:after="0" w:line="266" w:lineRule="auto"/>
        <w:rPr>
          <w:sz w:val="20"/>
          <w:szCs w:val="20"/>
          <w:color w:val="auto"/>
        </w:rPr>
      </w:pPr>
      <w:r>
        <w:rPr>
          <w:rFonts w:ascii="Arial" w:cs="Arial" w:eastAsia="Arial" w:hAnsi="Arial"/>
          <w:sz w:val="18"/>
          <w:szCs w:val="18"/>
          <w:i w:val="1"/>
          <w:iCs w:val="1"/>
          <w:color w:val="auto"/>
        </w:rPr>
        <w:t>Investment in Common Stock</w:t>
      </w:r>
      <w:r>
        <w:rPr>
          <w:rFonts w:ascii="Arial" w:cs="Arial" w:eastAsia="Arial" w:hAnsi="Arial"/>
          <w:sz w:val="18"/>
          <w:szCs w:val="18"/>
          <w:color w:val="auto"/>
        </w:rPr>
        <w:t>—Investments in shares of Science Applications International Corporation common stock,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on the New York Stock Exchange, are recorded at their last quoted market price on the last business day of the respective plan year.</w:t>
      </w:r>
    </w:p>
    <w:p>
      <w:pPr>
        <w:spacing w:after="0" w:line="203" w:lineRule="exact"/>
        <w:rPr>
          <w:sz w:val="20"/>
          <w:szCs w:val="20"/>
          <w:color w:val="auto"/>
        </w:rPr>
      </w:pPr>
    </w:p>
    <w:p>
      <w:pPr>
        <w:jc w:val="both"/>
        <w:ind w:left="900"/>
        <w:spacing w:after="0" w:line="282" w:lineRule="auto"/>
        <w:rPr>
          <w:sz w:val="20"/>
          <w:szCs w:val="20"/>
          <w:color w:val="auto"/>
        </w:rPr>
      </w:pPr>
      <w:r>
        <w:rPr>
          <w:rFonts w:ascii="Arial" w:cs="Arial" w:eastAsia="Arial" w:hAnsi="Arial"/>
          <w:sz w:val="18"/>
          <w:szCs w:val="18"/>
          <w:i w:val="1"/>
          <w:iCs w:val="1"/>
          <w:color w:val="auto"/>
        </w:rPr>
        <w:t>Self-Directed Brokerage Fund</w:t>
      </w:r>
      <w:r>
        <w:rPr>
          <w:rFonts w:ascii="Arial" w:cs="Arial" w:eastAsia="Arial" w:hAnsi="Arial"/>
          <w:sz w:val="18"/>
          <w:szCs w:val="18"/>
          <w:color w:val="auto"/>
        </w:rPr>
        <w:t>—The Plan’s investments in the self-directed brokerage fund are stated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w:t>
      </w:r>
    </w:p>
    <w:p>
      <w:pPr>
        <w:spacing w:after="0" w:line="189" w:lineRule="exact"/>
        <w:rPr>
          <w:sz w:val="20"/>
          <w:szCs w:val="20"/>
          <w:color w:val="auto"/>
        </w:rPr>
      </w:pPr>
    </w:p>
    <w:p>
      <w:pPr>
        <w:jc w:val="both"/>
        <w:ind w:left="900"/>
        <w:spacing w:after="0" w:line="258" w:lineRule="auto"/>
        <w:rPr>
          <w:sz w:val="20"/>
          <w:szCs w:val="20"/>
          <w:color w:val="auto"/>
        </w:rPr>
      </w:pPr>
      <w:r>
        <w:rPr>
          <w:rFonts w:ascii="Arial" w:cs="Arial" w:eastAsia="Arial" w:hAnsi="Arial"/>
          <w:sz w:val="18"/>
          <w:szCs w:val="18"/>
          <w:i w:val="1"/>
          <w:iCs w:val="1"/>
          <w:color w:val="auto"/>
        </w:rPr>
        <w:t>Investment Gains and Losses</w:t>
      </w:r>
      <w:r>
        <w:rPr>
          <w:rFonts w:ascii="Arial" w:cs="Arial" w:eastAsia="Arial" w:hAnsi="Arial"/>
          <w:sz w:val="18"/>
          <w:szCs w:val="18"/>
          <w:color w:val="auto"/>
        </w:rPr>
        <w:t>—Realized gains and losses on sales of investments are calculated as the difference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investments upon sale and the fair value of the investments at purchase. Unrealized appreciation or depreciation is calculated as the difference between the fair value of the investments at the end of the year and the fair value of the investments at the beginning of the year or on the date of purchase if purchased during the year. Interest income is recorded as earned, and dividends are recorded on the ex-dividend date.</w:t>
      </w:r>
    </w:p>
    <w:p>
      <w:pPr>
        <w:spacing w:after="0" w:line="20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b w:val="1"/>
          <w:bCs w:val="1"/>
          <w:i w:val="1"/>
          <w:iCs w:val="1"/>
          <w:color w:val="2B4C9B"/>
        </w:rPr>
        <w:t>Investment Risks and Uncertainties</w:t>
      </w:r>
      <w:r>
        <w:rPr>
          <w:rFonts w:ascii="Arial" w:cs="Arial" w:eastAsia="Arial" w:hAnsi="Arial"/>
          <w:sz w:val="18"/>
          <w:szCs w:val="18"/>
          <w:color w:val="000000"/>
        </w:rPr>
        <w:t>—The Plan invests in various investment securities which, in general, are exposed to various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risks, such as interest rate risk, credit risk, and overall market volatility. Due to the level of risk associated with investment securities, it is reasonably possible that changes in the values of certain investment securities will occur in the near term and such changes could materially affect the amounts reported in the statement of net assets available for benefits and statement of changes in net assets available for benefits.</w:t>
      </w:r>
    </w:p>
    <w:p>
      <w:pPr>
        <w:spacing w:after="0" w:line="206"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Notes Receivable from Participants</w:t>
      </w:r>
      <w:r>
        <w:rPr>
          <w:rFonts w:ascii="Arial" w:cs="Arial" w:eastAsia="Arial" w:hAnsi="Arial"/>
          <w:sz w:val="18"/>
          <w:szCs w:val="18"/>
          <w:color w:val="000000"/>
        </w:rPr>
        <w:t>—Notes receivable from participants are carried at the aggregate unpaid principal balance, plus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accrued, unpaid interest of loans outstanding.</w:t>
      </w:r>
    </w:p>
    <w:p>
      <w:pPr>
        <w:spacing w:after="0" w:line="180" w:lineRule="exact"/>
        <w:rPr>
          <w:sz w:val="20"/>
          <w:szCs w:val="20"/>
          <w:color w:val="auto"/>
        </w:rPr>
      </w:pPr>
    </w:p>
    <w:p>
      <w:pPr>
        <w:jc w:val="both"/>
        <w:ind w:left="460" w:right="20"/>
        <w:spacing w:after="0" w:line="287" w:lineRule="auto"/>
        <w:rPr>
          <w:sz w:val="20"/>
          <w:szCs w:val="20"/>
          <w:color w:val="auto"/>
        </w:rPr>
      </w:pPr>
      <w:r>
        <w:rPr>
          <w:rFonts w:ascii="Arial" w:cs="Arial" w:eastAsia="Arial" w:hAnsi="Arial"/>
          <w:sz w:val="18"/>
          <w:szCs w:val="18"/>
          <w:b w:val="1"/>
          <w:bCs w:val="1"/>
          <w:i w:val="1"/>
          <w:iCs w:val="1"/>
          <w:color w:val="2B4C9B"/>
        </w:rPr>
        <w:t>Benefits Payable</w:t>
      </w:r>
      <w:r>
        <w:rPr>
          <w:rFonts w:ascii="Arial" w:cs="Arial" w:eastAsia="Arial" w:hAnsi="Arial"/>
          <w:sz w:val="18"/>
          <w:szCs w:val="18"/>
          <w:color w:val="000000"/>
        </w:rPr>
        <w:t>—Benefit payments to participants are recorded upon distribution. There were no benefits payable to participants</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who had elected to withdraw from the Plan but had not yet been paid as of December 31, 2020 and 2019.</w:t>
      </w:r>
    </w:p>
    <w:p>
      <w:pPr>
        <w:spacing w:after="0" w:line="180" w:lineRule="exact"/>
        <w:rPr>
          <w:sz w:val="20"/>
          <w:szCs w:val="20"/>
          <w:color w:val="auto"/>
        </w:rPr>
      </w:pPr>
    </w:p>
    <w:p>
      <w:pPr>
        <w:jc w:val="both"/>
        <w:ind w:left="460"/>
        <w:spacing w:after="0" w:line="262" w:lineRule="auto"/>
        <w:rPr>
          <w:sz w:val="20"/>
          <w:szCs w:val="20"/>
          <w:color w:val="auto"/>
        </w:rPr>
      </w:pPr>
      <w:r>
        <w:rPr>
          <w:rFonts w:ascii="Arial" w:cs="Arial" w:eastAsia="Arial" w:hAnsi="Arial"/>
          <w:sz w:val="18"/>
          <w:szCs w:val="18"/>
          <w:b w:val="1"/>
          <w:bCs w:val="1"/>
          <w:i w:val="1"/>
          <w:iCs w:val="1"/>
          <w:color w:val="2B4C9B"/>
        </w:rPr>
        <w:t>Use of Estimates</w:t>
      </w:r>
      <w:r>
        <w:rPr>
          <w:rFonts w:ascii="Arial" w:cs="Arial" w:eastAsia="Arial" w:hAnsi="Arial"/>
          <w:sz w:val="18"/>
          <w:szCs w:val="18"/>
          <w:color w:val="000000"/>
        </w:rPr>
        <w:t>—The preparation of financial statements in conformity with GAAP requires management to make estimates and</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spacing w:after="0" w:line="203" w:lineRule="exact"/>
        <w:rPr>
          <w:sz w:val="20"/>
          <w:szCs w:val="20"/>
          <w:color w:val="auto"/>
        </w:rPr>
      </w:pPr>
    </w:p>
    <w:p>
      <w:pPr>
        <w:jc w:val="both"/>
        <w:ind w:left="460"/>
        <w:spacing w:after="0" w:line="287" w:lineRule="auto"/>
        <w:rPr>
          <w:sz w:val="20"/>
          <w:szCs w:val="20"/>
          <w:color w:val="auto"/>
        </w:rPr>
      </w:pPr>
      <w:r>
        <w:rPr>
          <w:rFonts w:ascii="Arial" w:cs="Arial" w:eastAsia="Arial" w:hAnsi="Arial"/>
          <w:sz w:val="18"/>
          <w:szCs w:val="18"/>
          <w:b w:val="1"/>
          <w:bCs w:val="1"/>
          <w:i w:val="1"/>
          <w:iCs w:val="1"/>
          <w:color w:val="2B4C9B"/>
        </w:rPr>
        <w:t>Administrative Expenses</w:t>
      </w:r>
      <w:r>
        <w:rPr>
          <w:rFonts w:ascii="Arial" w:cs="Arial" w:eastAsia="Arial" w:hAnsi="Arial"/>
          <w:sz w:val="18"/>
          <w:szCs w:val="18"/>
          <w:color w:val="000000"/>
        </w:rPr>
        <w:t>—Administrative expenses of the Plan are paid by the Plan sponsor or Plan participants as provided in the</w:t>
      </w:r>
      <w:r>
        <w:rPr>
          <w:rFonts w:ascii="Arial" w:cs="Arial" w:eastAsia="Arial" w:hAnsi="Arial"/>
          <w:sz w:val="18"/>
          <w:szCs w:val="18"/>
          <w:b w:val="1"/>
          <w:bCs w:val="1"/>
          <w:i w:val="1"/>
          <w:iCs w:val="1"/>
          <w:color w:val="2B4C9B"/>
        </w:rPr>
        <w:t xml:space="preserve"> </w:t>
      </w:r>
      <w:r>
        <w:rPr>
          <w:rFonts w:ascii="Arial" w:cs="Arial" w:eastAsia="Arial" w:hAnsi="Arial"/>
          <w:sz w:val="18"/>
          <w:szCs w:val="18"/>
          <w:color w:val="000000"/>
        </w:rPr>
        <w:t>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6 -</w:t>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FINANCIAL STATEMENTS</w:t>
      </w:r>
    </w:p>
    <w:p>
      <w:pPr>
        <w:spacing w:after="0" w:line="200" w:lineRule="exact"/>
        <w:rPr>
          <w:sz w:val="20"/>
          <w:szCs w:val="20"/>
          <w:color w:val="auto"/>
        </w:rPr>
      </w:pPr>
    </w:p>
    <w:p>
      <w:pPr>
        <w:spacing w:after="0" w:line="38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2B4C9B"/>
        </w:rPr>
      </w:pPr>
      <w:r>
        <w:rPr>
          <w:rFonts w:ascii="Arial" w:cs="Arial" w:eastAsia="Arial" w:hAnsi="Arial"/>
          <w:sz w:val="18"/>
          <w:szCs w:val="18"/>
          <w:b w:val="1"/>
          <w:bCs w:val="1"/>
          <w:color w:val="2B4C9B"/>
        </w:rPr>
        <w:t>FAIR VALUE MEASUREMENTS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010202"/>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spacing w:after="0" w:line="171"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for identical assets or liabilities in active markets that the Plan has the ability to access.</w:t>
      </w:r>
    </w:p>
    <w:p>
      <w:pPr>
        <w:spacing w:after="0" w:line="185" w:lineRule="exact"/>
        <w:rPr>
          <w:sz w:val="20"/>
          <w:szCs w:val="20"/>
          <w:color w:val="auto"/>
        </w:rPr>
      </w:pPr>
    </w:p>
    <w:p>
      <w:pPr>
        <w:jc w:val="both"/>
        <w:ind w:left="1300" w:hanging="1011"/>
        <w:spacing w:after="0" w:line="253" w:lineRule="auto"/>
        <w:tabs>
          <w:tab w:leader="none" w:pos="1280" w:val="left"/>
        </w:tabs>
        <w:rPr>
          <w:sz w:val="20"/>
          <w:szCs w:val="20"/>
          <w:color w:val="auto"/>
        </w:rPr>
      </w:pPr>
      <w:r>
        <w:rPr>
          <w:rFonts w:ascii="Arial" w:cs="Arial" w:eastAsia="Arial" w:hAnsi="Arial"/>
          <w:sz w:val="18"/>
          <w:szCs w:val="18"/>
          <w:color w:val="auto"/>
        </w:rPr>
        <w:t>Level 2</w:t>
        <w:tab/>
        <w:t>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65" w:lineRule="exact"/>
        <w:rPr>
          <w:sz w:val="20"/>
          <w:szCs w:val="20"/>
          <w:color w:val="auto"/>
        </w:rPr>
      </w:pPr>
    </w:p>
    <w:p>
      <w:pPr>
        <w:ind w:left="500"/>
        <w:spacing w:after="0"/>
        <w:tabs>
          <w:tab w:leader="none" w:pos="12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Plan’s investments at fair value and by level, as applicable, as of December 31,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80" w:type="dxa"/>
            <w:vAlign w:val="bottom"/>
            <w:tcBorders>
              <w:bottom w:val="single" w:sz="8" w:color="2B4C9B"/>
            </w:tcBorders>
          </w:tcPr>
          <w:p>
            <w:pPr>
              <w:spacing w:after="0"/>
              <w:rPr>
                <w:sz w:val="14"/>
                <w:szCs w:val="14"/>
                <w:color w:val="auto"/>
              </w:rPr>
            </w:pPr>
          </w:p>
        </w:tc>
        <w:tc>
          <w:tcPr>
            <w:tcW w:w="1520" w:type="dxa"/>
            <w:vAlign w:val="bottom"/>
            <w:tcBorders>
              <w:bottom w:val="single" w:sz="8" w:color="2B4C9B"/>
            </w:tcBorders>
            <w:gridSpan w:val="2"/>
          </w:tcPr>
          <w:p>
            <w:pPr>
              <w:jc w:val="right"/>
              <w:ind w:right="148"/>
              <w:spacing w:after="0"/>
              <w:rPr>
                <w:sz w:val="20"/>
                <w:szCs w:val="20"/>
                <w:color w:val="auto"/>
              </w:rPr>
            </w:pPr>
            <w:r>
              <w:rPr>
                <w:rFonts w:ascii="Arial" w:cs="Arial" w:eastAsia="Arial" w:hAnsi="Arial"/>
                <w:sz w:val="14"/>
                <w:szCs w:val="14"/>
                <w:color w:val="auto"/>
              </w:rPr>
              <w:t>Level 1</w:t>
            </w:r>
          </w:p>
        </w:tc>
        <w:tc>
          <w:tcPr>
            <w:tcW w:w="920" w:type="dxa"/>
            <w:vAlign w:val="bottom"/>
            <w:tcBorders>
              <w:bottom w:val="single" w:sz="8" w:color="2B4C9B"/>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2B4C9B"/>
            </w:tcBorders>
          </w:tcPr>
          <w:p>
            <w:pPr>
              <w:spacing w:after="0"/>
              <w:rPr>
                <w:sz w:val="14"/>
                <w:szCs w:val="14"/>
                <w:color w:val="auto"/>
              </w:rPr>
            </w:pPr>
          </w:p>
        </w:tc>
        <w:tc>
          <w:tcPr>
            <w:tcW w:w="960" w:type="dxa"/>
            <w:vAlign w:val="bottom"/>
            <w:tcBorders>
              <w:bottom w:val="single" w:sz="8" w:color="2B4C9B"/>
            </w:tcBorders>
            <w:gridSpan w:val="2"/>
          </w:tcPr>
          <w:p>
            <w:pPr>
              <w:ind w:left="380"/>
              <w:spacing w:after="0"/>
              <w:rPr>
                <w:sz w:val="20"/>
                <w:szCs w:val="20"/>
                <w:color w:val="auto"/>
              </w:rPr>
            </w:pPr>
            <w:r>
              <w:rPr>
                <w:rFonts w:ascii="Arial" w:cs="Arial" w:eastAsia="Arial" w:hAnsi="Arial"/>
                <w:sz w:val="14"/>
                <w:szCs w:val="14"/>
                <w:color w:val="auto"/>
              </w:rPr>
              <w:t>Level 2</w:t>
            </w:r>
          </w:p>
        </w:tc>
        <w:tc>
          <w:tcPr>
            <w:tcW w:w="460" w:type="dxa"/>
            <w:vAlign w:val="bottom"/>
            <w:tcBorders>
              <w:bottom w:val="single" w:sz="8" w:color="2B4C9B"/>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2B4C9B"/>
            </w:tcBorders>
          </w:tcPr>
          <w:p>
            <w:pPr>
              <w:spacing w:after="0"/>
              <w:rPr>
                <w:sz w:val="14"/>
                <w:szCs w:val="14"/>
                <w:color w:val="auto"/>
              </w:rPr>
            </w:pPr>
          </w:p>
        </w:tc>
        <w:tc>
          <w:tcPr>
            <w:tcW w:w="1000" w:type="dxa"/>
            <w:vAlign w:val="bottom"/>
            <w:tcBorders>
              <w:bottom w:val="single" w:sz="8" w:color="2B4C9B"/>
            </w:tcBorders>
            <w:gridSpan w:val="2"/>
          </w:tcPr>
          <w:p>
            <w:pPr>
              <w:ind w:left="380"/>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2B4C9B"/>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2B4C9B"/>
            </w:tcBorders>
          </w:tcPr>
          <w:p>
            <w:pPr>
              <w:spacing w:after="0"/>
              <w:rPr>
                <w:sz w:val="14"/>
                <w:szCs w:val="14"/>
                <w:color w:val="auto"/>
              </w:rPr>
            </w:pPr>
          </w:p>
        </w:tc>
        <w:tc>
          <w:tcPr>
            <w:tcW w:w="920" w:type="dxa"/>
            <w:vAlign w:val="bottom"/>
            <w:tcBorders>
              <w:bottom w:val="single" w:sz="8" w:color="2B4C9B"/>
            </w:tcBorders>
          </w:tcPr>
          <w:p>
            <w:pPr>
              <w:spacing w:after="0"/>
              <w:rPr>
                <w:sz w:val="14"/>
                <w:szCs w:val="14"/>
                <w:color w:val="auto"/>
              </w:rPr>
            </w:pPr>
          </w:p>
        </w:tc>
        <w:tc>
          <w:tcPr>
            <w:tcW w:w="640" w:type="dxa"/>
            <w:vAlign w:val="bottom"/>
            <w:tcBorders>
              <w:bottom w:val="single" w:sz="8" w:color="2B4C9B"/>
            </w:tcBorders>
          </w:tcPr>
          <w:p>
            <w:pPr>
              <w:jc w:val="right"/>
              <w:ind w:right="248"/>
              <w:spacing w:after="0"/>
              <w:rPr>
                <w:sz w:val="20"/>
                <w:szCs w:val="20"/>
                <w:color w:val="auto"/>
              </w:rPr>
            </w:pPr>
            <w:r>
              <w:rPr>
                <w:rFonts w:ascii="Arial" w:cs="Arial" w:eastAsia="Arial" w:hAnsi="Arial"/>
                <w:sz w:val="14"/>
                <w:szCs w:val="14"/>
                <w:color w:val="auto"/>
                <w:w w:val="96"/>
              </w:rPr>
              <w:t>Total</w:t>
            </w:r>
          </w:p>
        </w:tc>
        <w:tc>
          <w:tcPr>
            <w:tcW w:w="94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2B4C9B"/>
            </w:tcBorders>
          </w:tcPr>
          <w:p>
            <w:pPr>
              <w:spacing w:after="0"/>
              <w:rPr>
                <w:sz w:val="15"/>
                <w:szCs w:val="15"/>
                <w:color w:val="auto"/>
              </w:rPr>
            </w:pPr>
          </w:p>
        </w:tc>
        <w:tc>
          <w:tcPr>
            <w:tcW w:w="28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b w:val="1"/>
                <w:bCs w:val="1"/>
                <w:color w:val="2B4C9B"/>
              </w:rPr>
              <w:t>2020</w:t>
            </w:r>
          </w:p>
        </w:tc>
        <w:tc>
          <w:tcPr>
            <w:tcW w:w="380" w:type="dxa"/>
            <w:vAlign w:val="bottom"/>
            <w:tcBorders>
              <w:bottom w:val="single" w:sz="8" w:color="2B4C9B"/>
            </w:tcBorders>
          </w:tcPr>
          <w:p>
            <w:pPr>
              <w:spacing w:after="0"/>
              <w:rPr>
                <w:sz w:val="15"/>
                <w:szCs w:val="15"/>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2B4C9B"/>
            </w:tcBorders>
          </w:tcPr>
          <w:p>
            <w:pPr>
              <w:spacing w:after="0"/>
              <w:rPr>
                <w:sz w:val="15"/>
                <w:szCs w:val="15"/>
                <w:color w:val="auto"/>
              </w:rPr>
            </w:pPr>
          </w:p>
        </w:tc>
        <w:tc>
          <w:tcPr>
            <w:tcW w:w="200" w:type="dxa"/>
            <w:vAlign w:val="bottom"/>
            <w:tcBorders>
              <w:bottom w:val="single" w:sz="8" w:color="2B4C9B"/>
            </w:tcBorders>
          </w:tcPr>
          <w:p>
            <w:pPr>
              <w:spacing w:after="0"/>
              <w:rPr>
                <w:sz w:val="15"/>
                <w:szCs w:val="15"/>
                <w:color w:val="auto"/>
              </w:rPr>
            </w:pPr>
          </w:p>
        </w:tc>
        <w:tc>
          <w:tcPr>
            <w:tcW w:w="580" w:type="dxa"/>
            <w:vAlign w:val="bottom"/>
            <w:tcBorders>
              <w:bottom w:val="single" w:sz="8" w:color="2B4C9B"/>
            </w:tcBorders>
          </w:tcPr>
          <w:p>
            <w:pPr>
              <w:ind w:left="120"/>
              <w:spacing w:after="0"/>
              <w:rPr>
                <w:sz w:val="20"/>
                <w:szCs w:val="20"/>
                <w:color w:val="auto"/>
              </w:rPr>
            </w:pPr>
            <w:r>
              <w:rPr>
                <w:rFonts w:ascii="Arial" w:cs="Arial" w:eastAsia="Arial" w:hAnsi="Arial"/>
                <w:sz w:val="14"/>
                <w:szCs w:val="14"/>
                <w:b w:val="1"/>
                <w:bCs w:val="1"/>
                <w:color w:val="2B4C9B"/>
              </w:rPr>
              <w:t>2020</w:t>
            </w:r>
          </w:p>
        </w:tc>
        <w:tc>
          <w:tcPr>
            <w:tcW w:w="380" w:type="dxa"/>
            <w:vAlign w:val="bottom"/>
            <w:tcBorders>
              <w:bottom w:val="single" w:sz="8" w:color="2B4C9B"/>
            </w:tcBorders>
          </w:tcPr>
          <w:p>
            <w:pPr>
              <w:spacing w:after="0"/>
              <w:rPr>
                <w:sz w:val="15"/>
                <w:szCs w:val="15"/>
                <w:color w:val="auto"/>
              </w:rPr>
            </w:pPr>
          </w:p>
        </w:tc>
        <w:tc>
          <w:tcPr>
            <w:tcW w:w="460" w:type="dxa"/>
            <w:vAlign w:val="bottom"/>
            <w:tcBorders>
              <w:bottom w:val="single" w:sz="8" w:color="2B4C9B"/>
            </w:tcBorders>
          </w:tcPr>
          <w:p>
            <w:pPr>
              <w:ind w:left="120"/>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2B4C9B"/>
            </w:tcBorders>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620" w:type="dxa"/>
            <w:vAlign w:val="bottom"/>
            <w:tcBorders>
              <w:bottom w:val="single" w:sz="8" w:color="2B4C9B"/>
            </w:tcBorders>
          </w:tcPr>
          <w:p>
            <w:pPr>
              <w:ind w:left="140"/>
              <w:spacing w:after="0"/>
              <w:rPr>
                <w:sz w:val="20"/>
                <w:szCs w:val="20"/>
                <w:color w:val="auto"/>
              </w:rPr>
            </w:pPr>
            <w:r>
              <w:rPr>
                <w:rFonts w:ascii="Arial" w:cs="Arial" w:eastAsia="Arial" w:hAnsi="Arial"/>
                <w:sz w:val="14"/>
                <w:szCs w:val="14"/>
                <w:b w:val="1"/>
                <w:bCs w:val="1"/>
                <w:color w:val="2B4C9B"/>
              </w:rPr>
              <w:t>2020</w:t>
            </w:r>
          </w:p>
        </w:tc>
        <w:tc>
          <w:tcPr>
            <w:tcW w:w="380" w:type="dxa"/>
            <w:vAlign w:val="bottom"/>
            <w:tcBorders>
              <w:bottom w:val="single" w:sz="8" w:color="2B4C9B"/>
            </w:tcBorders>
          </w:tcPr>
          <w:p>
            <w:pPr>
              <w:spacing w:after="0"/>
              <w:rPr>
                <w:sz w:val="15"/>
                <w:szCs w:val="15"/>
                <w:color w:val="auto"/>
              </w:rPr>
            </w:pPr>
          </w:p>
        </w:tc>
        <w:tc>
          <w:tcPr>
            <w:tcW w:w="460" w:type="dxa"/>
            <w:vAlign w:val="bottom"/>
            <w:tcBorders>
              <w:bottom w:val="single" w:sz="8" w:color="2B4C9B"/>
            </w:tcBorders>
          </w:tcPr>
          <w:p>
            <w:pPr>
              <w:ind w:left="120"/>
              <w:spacing w:after="0"/>
              <w:rPr>
                <w:sz w:val="20"/>
                <w:szCs w:val="20"/>
                <w:color w:val="auto"/>
              </w:rPr>
            </w:pPr>
            <w:r>
              <w:rPr>
                <w:rFonts w:ascii="Arial" w:cs="Arial" w:eastAsia="Arial" w:hAnsi="Arial"/>
                <w:sz w:val="14"/>
                <w:szCs w:val="14"/>
                <w:color w:val="auto"/>
              </w:rPr>
              <w:t>2019</w:t>
            </w:r>
          </w:p>
        </w:tc>
        <w:tc>
          <w:tcPr>
            <w:tcW w:w="28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2020</w:t>
            </w:r>
          </w:p>
        </w:tc>
        <w:tc>
          <w:tcPr>
            <w:tcW w:w="640" w:type="dxa"/>
            <w:vAlign w:val="bottom"/>
            <w:tcBorders>
              <w:bottom w:val="single" w:sz="8" w:color="2B4C9B"/>
            </w:tcBorders>
          </w:tcPr>
          <w:p>
            <w:pPr>
              <w:spacing w:after="0"/>
              <w:rPr>
                <w:sz w:val="15"/>
                <w:szCs w:val="15"/>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Mutual funds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b w:val="1"/>
                <w:bCs w:val="1"/>
                <w:color w:val="2B4C9B"/>
              </w:rPr>
              <w:t>$</w:t>
            </w:r>
          </w:p>
        </w:tc>
        <w:tc>
          <w:tcPr>
            <w:tcW w:w="114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2B4C9B"/>
              </w:rPr>
              <w:t>1,433,296</w:t>
            </w:r>
          </w:p>
        </w:tc>
        <w:tc>
          <w:tcPr>
            <w:tcW w:w="3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956,574</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2B4C9B"/>
              </w:rPr>
              <w:t>$</w:t>
            </w:r>
          </w:p>
        </w:tc>
        <w:tc>
          <w:tcPr>
            <w:tcW w:w="580" w:type="dxa"/>
            <w:vAlign w:val="bottom"/>
            <w:shd w:val="clear" w:color="auto" w:fill="CFF0FC"/>
          </w:tcPr>
          <w:p>
            <w:pPr>
              <w:ind w:left="240"/>
              <w:spacing w:after="0"/>
              <w:rPr>
                <w:sz w:val="20"/>
                <w:szCs w:val="20"/>
                <w:color w:val="auto"/>
              </w:rPr>
            </w:pPr>
            <w:r>
              <w:rPr>
                <w:rFonts w:ascii="Arial" w:cs="Arial" w:eastAsia="Arial" w:hAnsi="Arial"/>
                <w:sz w:val="14"/>
                <w:szCs w:val="14"/>
                <w:b w:val="1"/>
                <w:bCs w:val="1"/>
                <w:color w:val="2B4C9B"/>
              </w:rPr>
              <w:t>—</w:t>
            </w: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2B4C9B"/>
              </w:rPr>
              <w:t>$</w:t>
            </w:r>
          </w:p>
        </w:tc>
        <w:tc>
          <w:tcPr>
            <w:tcW w:w="620" w:type="dxa"/>
            <w:vAlign w:val="bottom"/>
            <w:shd w:val="clear" w:color="auto" w:fill="CFF0FC"/>
          </w:tcPr>
          <w:p>
            <w:pPr>
              <w:ind w:left="260"/>
              <w:spacing w:after="0"/>
              <w:rPr>
                <w:sz w:val="20"/>
                <w:szCs w:val="20"/>
                <w:color w:val="auto"/>
              </w:rPr>
            </w:pPr>
            <w:r>
              <w:rPr>
                <w:rFonts w:ascii="Arial" w:cs="Arial" w:eastAsia="Arial" w:hAnsi="Arial"/>
                <w:sz w:val="14"/>
                <w:szCs w:val="14"/>
                <w:b w:val="1"/>
                <w:bCs w:val="1"/>
                <w:color w:val="2B4C9B"/>
              </w:rPr>
              <w:t>—</w:t>
            </w:r>
          </w:p>
        </w:tc>
        <w:tc>
          <w:tcPr>
            <w:tcW w:w="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b w:val="1"/>
                <w:bCs w:val="1"/>
                <w:color w:val="2B4C9B"/>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2B4C9B"/>
              </w:rPr>
              <w:t>1,433,296</w:t>
            </w:r>
          </w:p>
        </w:tc>
        <w:tc>
          <w:tcPr>
            <w:tcW w:w="6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956,574</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6"/>
                <w:szCs w:val="16"/>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2B4C9B"/>
              </w:rPr>
              <w:t>109,413</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112,573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ind w:left="240"/>
              <w:spacing w:after="0"/>
              <w:rPr>
                <w:sz w:val="20"/>
                <w:szCs w:val="20"/>
                <w:color w:val="auto"/>
              </w:rPr>
            </w:pPr>
            <w:r>
              <w:rPr>
                <w:rFonts w:ascii="Arial" w:cs="Arial" w:eastAsia="Arial" w:hAnsi="Arial"/>
                <w:sz w:val="14"/>
                <w:szCs w:val="14"/>
                <w:b w:val="1"/>
                <w:bCs w:val="1"/>
                <w:color w:val="2B4C9B"/>
              </w:rPr>
              <w:t>—</w:t>
            </w:r>
          </w:p>
        </w:tc>
        <w:tc>
          <w:tcPr>
            <w:tcW w:w="380" w:type="dxa"/>
            <w:vAlign w:val="bottom"/>
          </w:tcPr>
          <w:p>
            <w:pPr>
              <w:spacing w:after="0"/>
              <w:rPr>
                <w:sz w:val="16"/>
                <w:szCs w:val="16"/>
                <w:color w:val="auto"/>
              </w:rPr>
            </w:pPr>
          </w:p>
        </w:tc>
        <w:tc>
          <w:tcPr>
            <w:tcW w:w="7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ind w:left="260"/>
              <w:spacing w:after="0"/>
              <w:rPr>
                <w:sz w:val="20"/>
                <w:szCs w:val="20"/>
                <w:color w:val="auto"/>
              </w:rPr>
            </w:pPr>
            <w:r>
              <w:rPr>
                <w:rFonts w:ascii="Arial" w:cs="Arial" w:eastAsia="Arial" w:hAnsi="Arial"/>
                <w:sz w:val="14"/>
                <w:szCs w:val="14"/>
                <w:color w:val="2B4C9B"/>
              </w:rPr>
              <w:t>—</w:t>
            </w:r>
          </w:p>
        </w:tc>
        <w:tc>
          <w:tcPr>
            <w:tcW w:w="38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2B4C9B"/>
              </w:rPr>
              <w:t>109,413</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112,573</w:t>
            </w:r>
          </w:p>
        </w:tc>
        <w:tc>
          <w:tcPr>
            <w:tcW w:w="0" w:type="dxa"/>
            <w:vAlign w:val="bottom"/>
          </w:tcPr>
          <w:p>
            <w:pPr>
              <w:spacing w:after="0"/>
              <w:rPr>
                <w:sz w:val="1"/>
                <w:szCs w:val="1"/>
                <w:color w:val="auto"/>
              </w:rPr>
            </w:pPr>
          </w:p>
        </w:tc>
      </w:tr>
      <w:tr>
        <w:trPr>
          <w:trHeight w:val="153"/>
        </w:trPr>
        <w:tc>
          <w:tcPr>
            <w:tcW w:w="154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Self-directed</w:t>
            </w:r>
          </w:p>
        </w:tc>
        <w:tc>
          <w:tcPr>
            <w:tcW w:w="28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ind w:right="228"/>
              <w:spacing w:after="0"/>
              <w:rPr>
                <w:sz w:val="20"/>
                <w:szCs w:val="20"/>
                <w:color w:val="auto"/>
              </w:rPr>
            </w:pPr>
            <w:r>
              <w:rPr>
                <w:rFonts w:ascii="Arial" w:cs="Arial" w:eastAsia="Arial" w:hAnsi="Arial"/>
                <w:sz w:val="14"/>
                <w:szCs w:val="14"/>
                <w:b w:val="1"/>
                <w:bCs w:val="1"/>
                <w:color w:val="2B4C9B"/>
              </w:rPr>
              <w:t>75,026</w:t>
            </w:r>
          </w:p>
        </w:tc>
        <w:tc>
          <w:tcPr>
            <w:tcW w:w="3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32,409</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ind w:left="240"/>
              <w:spacing w:after="0"/>
              <w:rPr>
                <w:sz w:val="20"/>
                <w:szCs w:val="20"/>
                <w:color w:val="auto"/>
              </w:rPr>
            </w:pPr>
            <w:r>
              <w:rPr>
                <w:rFonts w:ascii="Arial" w:cs="Arial" w:eastAsia="Arial" w:hAnsi="Arial"/>
                <w:sz w:val="14"/>
                <w:szCs w:val="14"/>
                <w:b w:val="1"/>
                <w:bCs w:val="1"/>
                <w:color w:val="2B4C9B"/>
              </w:rPr>
              <w:t>—</w:t>
            </w:r>
          </w:p>
        </w:tc>
        <w:tc>
          <w:tcPr>
            <w:tcW w:w="380" w:type="dxa"/>
            <w:vAlign w:val="bottom"/>
            <w:shd w:val="clear" w:color="auto" w:fill="CFF0FC"/>
          </w:tcPr>
          <w:p>
            <w:pPr>
              <w:spacing w:after="0"/>
              <w:rPr>
                <w:sz w:val="13"/>
                <w:szCs w:val="13"/>
                <w:color w:val="auto"/>
              </w:rPr>
            </w:pPr>
          </w:p>
        </w:tc>
        <w:tc>
          <w:tcPr>
            <w:tcW w:w="740" w:type="dxa"/>
            <w:vAlign w:val="bottom"/>
            <w:gridSpan w:val="2"/>
            <w:vMerge w:val="restart"/>
            <w:shd w:val="clear" w:color="auto" w:fill="CFF0FC"/>
          </w:tcPr>
          <w:p>
            <w:pPr>
              <w:ind w:lef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2B4C9B"/>
              </w:rPr>
              <w:t>—</w:t>
            </w:r>
          </w:p>
        </w:tc>
        <w:tc>
          <w:tcPr>
            <w:tcW w:w="380" w:type="dxa"/>
            <w:vAlign w:val="bottom"/>
            <w:shd w:val="clear" w:color="auto" w:fill="CFF0FC"/>
          </w:tcPr>
          <w:p>
            <w:pPr>
              <w:spacing w:after="0"/>
              <w:rPr>
                <w:sz w:val="13"/>
                <w:szCs w:val="13"/>
                <w:color w:val="auto"/>
              </w:rPr>
            </w:pPr>
          </w:p>
        </w:tc>
        <w:tc>
          <w:tcPr>
            <w:tcW w:w="740" w:type="dxa"/>
            <w:vAlign w:val="bottom"/>
            <w:gridSpan w:val="2"/>
            <w:vMerge w:val="restart"/>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2B4C9B"/>
              </w:rPr>
              <w:t>75,026</w:t>
            </w:r>
          </w:p>
        </w:tc>
        <w:tc>
          <w:tcPr>
            <w:tcW w:w="64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32,409</w:t>
            </w:r>
          </w:p>
        </w:tc>
        <w:tc>
          <w:tcPr>
            <w:tcW w:w="0" w:type="dxa"/>
            <w:vAlign w:val="bottom"/>
          </w:tcPr>
          <w:p>
            <w:pPr>
              <w:spacing w:after="0"/>
              <w:rPr>
                <w:sz w:val="1"/>
                <w:szCs w:val="1"/>
                <w:color w:val="auto"/>
              </w:rPr>
            </w:pPr>
          </w:p>
        </w:tc>
      </w:tr>
      <w:tr>
        <w:trPr>
          <w:trHeight w:val="171"/>
        </w:trPr>
        <w:tc>
          <w:tcPr>
            <w:tcW w:w="15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4"/>
                <w:szCs w:val="14"/>
                <w:color w:val="auto"/>
              </w:rPr>
              <w:t>brokerage fund</w:t>
            </w:r>
          </w:p>
        </w:tc>
        <w:tc>
          <w:tcPr>
            <w:tcW w:w="280" w:type="dxa"/>
            <w:vAlign w:val="bottom"/>
            <w:tcBorders>
              <w:bottom w:val="single" w:sz="8" w:color="2B4C9B"/>
            </w:tcBorders>
            <w:shd w:val="clear" w:color="auto" w:fill="CFF0FC"/>
          </w:tcPr>
          <w:p>
            <w:pPr>
              <w:spacing w:after="0"/>
              <w:rPr>
                <w:sz w:val="14"/>
                <w:szCs w:val="14"/>
                <w:color w:val="auto"/>
              </w:rPr>
            </w:pPr>
          </w:p>
        </w:tc>
        <w:tc>
          <w:tcPr>
            <w:tcW w:w="1140" w:type="dxa"/>
            <w:vAlign w:val="bottom"/>
            <w:tcBorders>
              <w:bottom w:val="single" w:sz="8" w:color="2B4C9B"/>
            </w:tcBorders>
            <w:vMerge w:val="continue"/>
            <w:shd w:val="clear" w:color="auto" w:fill="CFF0FC"/>
          </w:tcPr>
          <w:p>
            <w:pPr>
              <w:spacing w:after="0"/>
              <w:rPr>
                <w:sz w:val="14"/>
                <w:szCs w:val="14"/>
                <w:color w:val="auto"/>
              </w:rPr>
            </w:pPr>
          </w:p>
        </w:tc>
        <w:tc>
          <w:tcPr>
            <w:tcW w:w="380" w:type="dxa"/>
            <w:vAlign w:val="bottom"/>
            <w:tcBorders>
              <w:bottom w:val="single" w:sz="8" w:color="2B4C9B"/>
            </w:tcBorders>
            <w:shd w:val="clear" w:color="auto" w:fill="CFF0FC"/>
          </w:tcPr>
          <w:p>
            <w:pPr>
              <w:spacing w:after="0"/>
              <w:rPr>
                <w:sz w:val="14"/>
                <w:szCs w:val="14"/>
                <w:color w:val="auto"/>
              </w:rPr>
            </w:pPr>
          </w:p>
        </w:tc>
        <w:tc>
          <w:tcPr>
            <w:tcW w:w="920" w:type="dxa"/>
            <w:vAlign w:val="bottom"/>
            <w:tcBorders>
              <w:bottom w:val="single" w:sz="8" w:color="2B4C9B"/>
            </w:tcBorders>
            <w:vMerge w:val="continue"/>
            <w:shd w:val="clear" w:color="auto" w:fill="CFF0FC"/>
          </w:tcPr>
          <w:p>
            <w:pPr>
              <w:spacing w:after="0"/>
              <w:rPr>
                <w:sz w:val="14"/>
                <w:szCs w:val="14"/>
                <w:color w:val="auto"/>
              </w:rPr>
            </w:pPr>
          </w:p>
        </w:tc>
        <w:tc>
          <w:tcPr>
            <w:tcW w:w="280" w:type="dxa"/>
            <w:vAlign w:val="bottom"/>
            <w:tcBorders>
              <w:bottom w:val="single" w:sz="8" w:color="2B4C9B"/>
            </w:tcBorders>
            <w:shd w:val="clear" w:color="auto" w:fill="CFF0FC"/>
          </w:tcPr>
          <w:p>
            <w:pPr>
              <w:spacing w:after="0"/>
              <w:rPr>
                <w:sz w:val="14"/>
                <w:szCs w:val="14"/>
                <w:color w:val="auto"/>
              </w:rPr>
            </w:pPr>
          </w:p>
        </w:tc>
        <w:tc>
          <w:tcPr>
            <w:tcW w:w="200" w:type="dxa"/>
            <w:vAlign w:val="bottom"/>
            <w:tcBorders>
              <w:bottom w:val="single" w:sz="8" w:color="2B4C9B"/>
            </w:tcBorders>
            <w:shd w:val="clear" w:color="auto" w:fill="CFF0FC"/>
          </w:tcPr>
          <w:p>
            <w:pPr>
              <w:spacing w:after="0"/>
              <w:rPr>
                <w:sz w:val="14"/>
                <w:szCs w:val="14"/>
                <w:color w:val="auto"/>
              </w:rPr>
            </w:pPr>
          </w:p>
        </w:tc>
        <w:tc>
          <w:tcPr>
            <w:tcW w:w="580" w:type="dxa"/>
            <w:vAlign w:val="bottom"/>
            <w:tcBorders>
              <w:bottom w:val="single" w:sz="8" w:color="2B4C9B"/>
            </w:tcBorders>
            <w:vMerge w:val="continue"/>
            <w:shd w:val="clear" w:color="auto" w:fill="CFF0FC"/>
          </w:tcPr>
          <w:p>
            <w:pPr>
              <w:spacing w:after="0"/>
              <w:rPr>
                <w:sz w:val="14"/>
                <w:szCs w:val="14"/>
                <w:color w:val="auto"/>
              </w:rPr>
            </w:pPr>
          </w:p>
        </w:tc>
        <w:tc>
          <w:tcPr>
            <w:tcW w:w="380" w:type="dxa"/>
            <w:vAlign w:val="bottom"/>
            <w:tcBorders>
              <w:bottom w:val="single" w:sz="8" w:color="2B4C9B"/>
            </w:tcBorders>
            <w:shd w:val="clear" w:color="auto" w:fill="CFF0FC"/>
          </w:tcPr>
          <w:p>
            <w:pPr>
              <w:spacing w:after="0"/>
              <w:rPr>
                <w:sz w:val="14"/>
                <w:szCs w:val="14"/>
                <w:color w:val="auto"/>
              </w:rPr>
            </w:pPr>
          </w:p>
        </w:tc>
        <w:tc>
          <w:tcPr>
            <w:tcW w:w="740" w:type="dxa"/>
            <w:vAlign w:val="bottom"/>
            <w:tcBorders>
              <w:bottom w:val="single" w:sz="8" w:color="2B4C9B"/>
            </w:tcBorders>
            <w:gridSpan w:val="2"/>
            <w:vMerge w:val="continue"/>
            <w:shd w:val="clear" w:color="auto" w:fill="CFF0FC"/>
          </w:tcPr>
          <w:p>
            <w:pPr>
              <w:spacing w:after="0"/>
              <w:rPr>
                <w:sz w:val="14"/>
                <w:szCs w:val="14"/>
                <w:color w:val="auto"/>
              </w:rPr>
            </w:pPr>
          </w:p>
        </w:tc>
        <w:tc>
          <w:tcPr>
            <w:tcW w:w="220" w:type="dxa"/>
            <w:vAlign w:val="bottom"/>
            <w:tcBorders>
              <w:bottom w:val="single" w:sz="8" w:color="2B4C9B"/>
            </w:tcBorders>
            <w:shd w:val="clear" w:color="auto" w:fill="CFF0FC"/>
          </w:tcPr>
          <w:p>
            <w:pPr>
              <w:spacing w:after="0"/>
              <w:rPr>
                <w:sz w:val="14"/>
                <w:szCs w:val="14"/>
                <w:color w:val="auto"/>
              </w:rPr>
            </w:pPr>
          </w:p>
        </w:tc>
        <w:tc>
          <w:tcPr>
            <w:tcW w:w="620" w:type="dxa"/>
            <w:vAlign w:val="bottom"/>
            <w:tcBorders>
              <w:bottom w:val="single" w:sz="8" w:color="2B4C9B"/>
            </w:tcBorders>
            <w:vMerge w:val="continue"/>
            <w:shd w:val="clear" w:color="auto" w:fill="CFF0FC"/>
          </w:tcPr>
          <w:p>
            <w:pPr>
              <w:spacing w:after="0"/>
              <w:rPr>
                <w:sz w:val="14"/>
                <w:szCs w:val="14"/>
                <w:color w:val="auto"/>
              </w:rPr>
            </w:pPr>
          </w:p>
        </w:tc>
        <w:tc>
          <w:tcPr>
            <w:tcW w:w="380" w:type="dxa"/>
            <w:vAlign w:val="bottom"/>
            <w:tcBorders>
              <w:bottom w:val="single" w:sz="8" w:color="2B4C9B"/>
            </w:tcBorders>
            <w:shd w:val="clear" w:color="auto" w:fill="CFF0FC"/>
          </w:tcPr>
          <w:p>
            <w:pPr>
              <w:spacing w:after="0"/>
              <w:rPr>
                <w:sz w:val="14"/>
                <w:szCs w:val="14"/>
                <w:color w:val="auto"/>
              </w:rPr>
            </w:pPr>
          </w:p>
        </w:tc>
        <w:tc>
          <w:tcPr>
            <w:tcW w:w="740" w:type="dxa"/>
            <w:vAlign w:val="bottom"/>
            <w:tcBorders>
              <w:bottom w:val="single" w:sz="8" w:color="2B4C9B"/>
            </w:tcBorders>
            <w:gridSpan w:val="2"/>
            <w:vMerge w:val="continue"/>
            <w:shd w:val="clear" w:color="auto" w:fill="CFF0FC"/>
          </w:tcPr>
          <w:p>
            <w:pPr>
              <w:spacing w:after="0"/>
              <w:rPr>
                <w:sz w:val="14"/>
                <w:szCs w:val="14"/>
                <w:color w:val="auto"/>
              </w:rPr>
            </w:pPr>
          </w:p>
        </w:tc>
        <w:tc>
          <w:tcPr>
            <w:tcW w:w="340" w:type="dxa"/>
            <w:vAlign w:val="bottom"/>
            <w:tcBorders>
              <w:bottom w:val="single" w:sz="8" w:color="2B4C9B"/>
            </w:tcBorders>
            <w:shd w:val="clear" w:color="auto" w:fill="CFF0FC"/>
          </w:tcPr>
          <w:p>
            <w:pPr>
              <w:spacing w:after="0"/>
              <w:rPr>
                <w:sz w:val="14"/>
                <w:szCs w:val="14"/>
                <w:color w:val="auto"/>
              </w:rPr>
            </w:pPr>
          </w:p>
        </w:tc>
        <w:tc>
          <w:tcPr>
            <w:tcW w:w="920" w:type="dxa"/>
            <w:vAlign w:val="bottom"/>
            <w:tcBorders>
              <w:bottom w:val="single" w:sz="8" w:color="2B4C9B"/>
            </w:tcBorders>
            <w:vMerge w:val="continue"/>
            <w:shd w:val="clear" w:color="auto" w:fill="CFF0FC"/>
          </w:tcPr>
          <w:p>
            <w:pPr>
              <w:spacing w:after="0"/>
              <w:rPr>
                <w:sz w:val="14"/>
                <w:szCs w:val="14"/>
                <w:color w:val="auto"/>
              </w:rPr>
            </w:pPr>
          </w:p>
        </w:tc>
        <w:tc>
          <w:tcPr>
            <w:tcW w:w="640" w:type="dxa"/>
            <w:vAlign w:val="bottom"/>
            <w:tcBorders>
              <w:bottom w:val="single" w:sz="8" w:color="2B4C9B"/>
            </w:tcBorders>
            <w:shd w:val="clear" w:color="auto" w:fill="CFF0FC"/>
          </w:tcPr>
          <w:p>
            <w:pPr>
              <w:spacing w:after="0"/>
              <w:rPr>
                <w:sz w:val="14"/>
                <w:szCs w:val="14"/>
                <w:color w:val="auto"/>
              </w:rPr>
            </w:pPr>
          </w:p>
        </w:tc>
        <w:tc>
          <w:tcPr>
            <w:tcW w:w="940" w:type="dxa"/>
            <w:vAlign w:val="bottom"/>
            <w:tcBorders>
              <w:bottom w:val="single" w:sz="8" w:color="2B4C9B"/>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Subtotal</w:t>
            </w:r>
          </w:p>
        </w:tc>
        <w:tc>
          <w:tcPr>
            <w:tcW w:w="280" w:type="dxa"/>
            <w:vAlign w:val="bottom"/>
            <w:tcBorders>
              <w:bottom w:val="single" w:sz="8" w:color="2B4C9B"/>
            </w:tcBorders>
          </w:tcPr>
          <w:p>
            <w:pPr>
              <w:jc w:val="right"/>
              <w:ind w:right="108"/>
              <w:spacing w:after="0"/>
              <w:rPr>
                <w:sz w:val="20"/>
                <w:szCs w:val="20"/>
                <w:color w:val="auto"/>
              </w:rPr>
            </w:pPr>
            <w:r>
              <w:rPr>
                <w:rFonts w:ascii="Arial" w:cs="Arial" w:eastAsia="Arial" w:hAnsi="Arial"/>
                <w:sz w:val="14"/>
                <w:szCs w:val="14"/>
                <w:b w:val="1"/>
                <w:bCs w:val="1"/>
                <w:color w:val="2B4C9B"/>
              </w:rPr>
              <w:t>$</w:t>
            </w:r>
          </w:p>
        </w:tc>
        <w:tc>
          <w:tcPr>
            <w:tcW w:w="1140" w:type="dxa"/>
            <w:vAlign w:val="bottom"/>
            <w:tcBorders>
              <w:bottom w:val="single" w:sz="8" w:color="2B4C9B"/>
            </w:tcBorders>
          </w:tcPr>
          <w:p>
            <w:pPr>
              <w:jc w:val="right"/>
              <w:ind w:right="228"/>
              <w:spacing w:after="0"/>
              <w:rPr>
                <w:sz w:val="20"/>
                <w:szCs w:val="20"/>
                <w:color w:val="auto"/>
              </w:rPr>
            </w:pPr>
            <w:r>
              <w:rPr>
                <w:rFonts w:ascii="Arial" w:cs="Arial" w:eastAsia="Arial" w:hAnsi="Arial"/>
                <w:sz w:val="14"/>
                <w:szCs w:val="14"/>
                <w:b w:val="1"/>
                <w:bCs w:val="1"/>
                <w:color w:val="2B4C9B"/>
              </w:rPr>
              <w:t>1,617,735</w:t>
            </w:r>
          </w:p>
        </w:tc>
        <w:tc>
          <w:tcPr>
            <w:tcW w:w="38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1,101,556</w:t>
            </w:r>
          </w:p>
        </w:tc>
        <w:tc>
          <w:tcPr>
            <w:tcW w:w="280" w:type="dxa"/>
            <w:vAlign w:val="bottom"/>
            <w:tcBorders>
              <w:bottom w:val="single" w:sz="8" w:color="2B4C9B"/>
            </w:tcBorders>
          </w:tcPr>
          <w:p>
            <w:pPr>
              <w:spacing w:after="0"/>
              <w:rPr>
                <w:sz w:val="15"/>
                <w:szCs w:val="15"/>
                <w:color w:val="auto"/>
              </w:rPr>
            </w:pPr>
          </w:p>
        </w:tc>
        <w:tc>
          <w:tcPr>
            <w:tcW w:w="200" w:type="dxa"/>
            <w:vAlign w:val="bottom"/>
            <w:tcBorders>
              <w:bottom w:val="single" w:sz="8" w:color="2B4C9B"/>
            </w:tcBorders>
          </w:tcPr>
          <w:p>
            <w:pPr>
              <w:jc w:val="right"/>
              <w:ind w:right="28"/>
              <w:spacing w:after="0"/>
              <w:rPr>
                <w:sz w:val="20"/>
                <w:szCs w:val="20"/>
                <w:color w:val="auto"/>
              </w:rPr>
            </w:pPr>
            <w:r>
              <w:rPr>
                <w:rFonts w:ascii="Arial" w:cs="Arial" w:eastAsia="Arial" w:hAnsi="Arial"/>
                <w:sz w:val="14"/>
                <w:szCs w:val="14"/>
                <w:b w:val="1"/>
                <w:bCs w:val="1"/>
                <w:color w:val="2B4C9B"/>
              </w:rPr>
              <w:t>$</w:t>
            </w:r>
          </w:p>
        </w:tc>
        <w:tc>
          <w:tcPr>
            <w:tcW w:w="580" w:type="dxa"/>
            <w:vAlign w:val="bottom"/>
            <w:tcBorders>
              <w:bottom w:val="single" w:sz="8" w:color="2B4C9B"/>
            </w:tcBorders>
          </w:tcPr>
          <w:p>
            <w:pPr>
              <w:ind w:left="240"/>
              <w:spacing w:after="0"/>
              <w:rPr>
                <w:sz w:val="20"/>
                <w:szCs w:val="20"/>
                <w:color w:val="auto"/>
              </w:rPr>
            </w:pPr>
            <w:r>
              <w:rPr>
                <w:rFonts w:ascii="Arial" w:cs="Arial" w:eastAsia="Arial" w:hAnsi="Arial"/>
                <w:sz w:val="14"/>
                <w:szCs w:val="14"/>
                <w:b w:val="1"/>
                <w:bCs w:val="1"/>
                <w:color w:val="2B4C9B"/>
              </w:rPr>
              <w:t>—</w:t>
            </w:r>
          </w:p>
        </w:tc>
        <w:tc>
          <w:tcPr>
            <w:tcW w:w="380" w:type="dxa"/>
            <w:vAlign w:val="bottom"/>
            <w:tcBorders>
              <w:bottom w:val="single" w:sz="8" w:color="2B4C9B"/>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B4C9B"/>
            </w:tcBorders>
            <w:gridSpan w:val="2"/>
          </w:tcPr>
          <w:p>
            <w:pPr>
              <w:ind w:lef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2B4C9B"/>
            </w:tcBorders>
          </w:tcPr>
          <w:p>
            <w:pPr>
              <w:jc w:val="right"/>
              <w:ind w:right="48"/>
              <w:spacing w:after="0"/>
              <w:rPr>
                <w:sz w:val="20"/>
                <w:szCs w:val="20"/>
                <w:color w:val="auto"/>
              </w:rPr>
            </w:pPr>
            <w:r>
              <w:rPr>
                <w:rFonts w:ascii="Arial" w:cs="Arial" w:eastAsia="Arial" w:hAnsi="Arial"/>
                <w:sz w:val="14"/>
                <w:szCs w:val="14"/>
                <w:b w:val="1"/>
                <w:bCs w:val="1"/>
                <w:color w:val="2B4C9B"/>
              </w:rPr>
              <w:t>$</w:t>
            </w:r>
          </w:p>
        </w:tc>
        <w:tc>
          <w:tcPr>
            <w:tcW w:w="620" w:type="dxa"/>
            <w:vAlign w:val="bottom"/>
            <w:tcBorders>
              <w:bottom w:val="single" w:sz="8" w:color="2B4C9B"/>
            </w:tcBorders>
          </w:tcPr>
          <w:p>
            <w:pPr>
              <w:ind w:left="260"/>
              <w:spacing w:after="0"/>
              <w:rPr>
                <w:sz w:val="20"/>
                <w:szCs w:val="20"/>
                <w:color w:val="auto"/>
              </w:rPr>
            </w:pPr>
            <w:r>
              <w:rPr>
                <w:rFonts w:ascii="Arial" w:cs="Arial" w:eastAsia="Arial" w:hAnsi="Arial"/>
                <w:sz w:val="14"/>
                <w:szCs w:val="14"/>
                <w:b w:val="1"/>
                <w:bCs w:val="1"/>
                <w:color w:val="2B4C9B"/>
              </w:rPr>
              <w:t>—</w:t>
            </w:r>
          </w:p>
        </w:tc>
        <w:tc>
          <w:tcPr>
            <w:tcW w:w="380" w:type="dxa"/>
            <w:vAlign w:val="bottom"/>
            <w:tcBorders>
              <w:bottom w:val="single" w:sz="8" w:color="2B4C9B"/>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2B4C9B"/>
            </w:tcBorders>
            <w:gridSpan w:val="2"/>
          </w:tcPr>
          <w:p>
            <w:pPr>
              <w:ind w:left="2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b w:val="1"/>
                <w:bCs w:val="1"/>
                <w:color w:val="2B4C9B"/>
              </w:rPr>
              <w:t>$</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1,617,735</w:t>
            </w:r>
          </w:p>
        </w:tc>
        <w:tc>
          <w:tcPr>
            <w:tcW w:w="6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1,101,556</w:t>
            </w:r>
          </w:p>
        </w:tc>
        <w:tc>
          <w:tcPr>
            <w:tcW w:w="0" w:type="dxa"/>
            <w:vAlign w:val="bottom"/>
          </w:tcPr>
          <w:p>
            <w:pPr>
              <w:spacing w:after="0"/>
              <w:rPr>
                <w:sz w:val="1"/>
                <w:szCs w:val="1"/>
                <w:color w:val="auto"/>
              </w:rPr>
            </w:pPr>
          </w:p>
        </w:tc>
      </w:tr>
      <w:tr>
        <w:trPr>
          <w:trHeight w:val="183"/>
        </w:trPr>
        <w:tc>
          <w:tcPr>
            <w:tcW w:w="296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Common collective trusts—measured at NAV</w:t>
            </w:r>
          </w:p>
        </w:tc>
        <w:tc>
          <w:tcPr>
            <w:tcW w:w="3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40" w:type="dxa"/>
            <w:vAlign w:val="bottom"/>
            <w:tcBorders>
              <w:bottom w:val="single" w:sz="8" w:color="2B4C9B"/>
            </w:tcBorders>
            <w:shd w:val="clear" w:color="auto" w:fill="CFF0FC"/>
          </w:tcPr>
          <w:p>
            <w:pPr>
              <w:spacing w:after="0"/>
              <w:rPr>
                <w:sz w:val="15"/>
                <w:szCs w:val="15"/>
                <w:color w:val="auto"/>
              </w:rPr>
            </w:pP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b w:val="1"/>
                <w:bCs w:val="1"/>
                <w:color w:val="2B4C9B"/>
              </w:rPr>
              <w:t>2,993,179</w:t>
            </w:r>
          </w:p>
        </w:tc>
        <w:tc>
          <w:tcPr>
            <w:tcW w:w="640" w:type="dxa"/>
            <w:vAlign w:val="bottom"/>
            <w:tcBorders>
              <w:bottom w:val="single" w:sz="8" w:color="2B4C9B"/>
            </w:tcBorders>
            <w:shd w:val="clear" w:color="auto" w:fill="CFF0FC"/>
          </w:tcPr>
          <w:p>
            <w:pPr>
              <w:spacing w:after="0"/>
              <w:rPr>
                <w:sz w:val="15"/>
                <w:szCs w:val="15"/>
                <w:color w:val="auto"/>
              </w:rPr>
            </w:pPr>
          </w:p>
        </w:tc>
        <w:tc>
          <w:tcPr>
            <w:tcW w:w="9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color w:val="auto"/>
              </w:rPr>
              <w:t>1,885,958</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b w:val="1"/>
                <w:bCs w:val="1"/>
                <w:color w:val="2B4C9B"/>
              </w:rPr>
              <w:t>$</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4,610,914</w:t>
            </w:r>
          </w:p>
        </w:tc>
        <w:tc>
          <w:tcPr>
            <w:tcW w:w="640" w:type="dxa"/>
            <w:vAlign w:val="bottom"/>
            <w:tcBorders>
              <w:bottom w:val="single" w:sz="8" w:color="2B4C9B"/>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2,987,514</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10202"/>
        </w:rPr>
        <w:t>Common collective trusts are measured at fair value using NAV as a practical expedient and have not been categorized in the fair value hierarchy. The fair value amounts presented in the table are intended to permit reconciliation of the fair value hierarchy to the amounts presented in the Statements of Net Assets Available for Benefits. The Plan has no unfunded commitments to the common collective trusts, and there are no redemption restrictions.</w:t>
      </w:r>
    </w:p>
    <w:p>
      <w:pPr>
        <w:spacing w:after="0" w:line="31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2B4C9B"/>
        </w:rPr>
      </w:pPr>
      <w:r>
        <w:rPr>
          <w:rFonts w:ascii="Arial" w:cs="Arial" w:eastAsia="Arial" w:hAnsi="Arial"/>
          <w:sz w:val="18"/>
          <w:szCs w:val="18"/>
          <w:b w:val="1"/>
          <w:bCs w:val="1"/>
          <w:color w:val="2B4C9B"/>
        </w:rPr>
        <w:t>SUBSEQUENT EVENTS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preparing the accompanying financial statements, management of the Plan has evaluated all subsequent events and transactions for potential recognition or disclosure through June 24, 2021, the date the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10202"/>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7 -</w:t>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2B4C9B"/>
        </w:rPr>
        <w:t>SCIENCE APPLICATIONS INTERNATIONAL CORPORATION RETIREMENT PLAN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SUPPLEMENTAL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FORM 5500, SCHEDULE H, PART IV,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AS OF DECEMBER 31, 2020</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0" w:type="dxa"/>
            <w:vAlign w:val="bottom"/>
            <w:tcBorders>
              <w:bottom w:val="single" w:sz="8" w:color="2B4C9B"/>
            </w:tcBorders>
          </w:tcPr>
          <w:p>
            <w:pPr>
              <w:spacing w:after="0"/>
              <w:rPr>
                <w:sz w:val="18"/>
                <w:szCs w:val="18"/>
                <w:color w:val="auto"/>
              </w:rPr>
            </w:pPr>
          </w:p>
        </w:tc>
        <w:tc>
          <w:tcPr>
            <w:tcW w:w="5300" w:type="dxa"/>
            <w:vAlign w:val="bottom"/>
            <w:tcBorders>
              <w:bottom w:val="single" w:sz="8" w:color="2B4C9B"/>
            </w:tcBorders>
          </w:tcPr>
          <w:p>
            <w:pPr>
              <w:spacing w:after="0"/>
              <w:rPr>
                <w:sz w:val="18"/>
                <w:szCs w:val="18"/>
                <w:color w:val="auto"/>
              </w:rPr>
            </w:pPr>
          </w:p>
        </w:tc>
        <w:tc>
          <w:tcPr>
            <w:tcW w:w="3120" w:type="dxa"/>
            <w:vAlign w:val="bottom"/>
            <w:tcBorders>
              <w:bottom w:val="single" w:sz="8" w:color="2B4C9B"/>
            </w:tcBorders>
          </w:tcPr>
          <w:p>
            <w:pPr>
              <w:ind w:left="500"/>
              <w:spacing w:after="0"/>
              <w:rPr>
                <w:sz w:val="20"/>
                <w:szCs w:val="20"/>
                <w:color w:val="auto"/>
              </w:rPr>
            </w:pPr>
            <w:r>
              <w:rPr>
                <w:rFonts w:ascii="Arial" w:cs="Arial" w:eastAsia="Arial" w:hAnsi="Arial"/>
                <w:sz w:val="16"/>
                <w:szCs w:val="16"/>
                <w:b w:val="1"/>
                <w:bCs w:val="1"/>
                <w:color w:val="auto"/>
              </w:rPr>
              <w:t>EIN: 30-6419427</w:t>
            </w:r>
          </w:p>
        </w:tc>
        <w:tc>
          <w:tcPr>
            <w:tcW w:w="1640" w:type="dxa"/>
            <w:vAlign w:val="bottom"/>
            <w:tcBorders>
              <w:bottom w:val="single" w:sz="8" w:color="2B4C9B"/>
            </w:tcBorders>
            <w:gridSpan w:val="2"/>
          </w:tcPr>
          <w:p>
            <w:pPr>
              <w:ind w:left="160"/>
              <w:spacing w:after="0"/>
              <w:rPr>
                <w:sz w:val="20"/>
                <w:szCs w:val="20"/>
                <w:color w:val="auto"/>
              </w:rPr>
            </w:pPr>
            <w:r>
              <w:rPr>
                <w:rFonts w:ascii="Arial" w:cs="Arial" w:eastAsia="Arial" w:hAnsi="Arial"/>
                <w:sz w:val="16"/>
                <w:szCs w:val="16"/>
                <w:b w:val="1"/>
                <w:bCs w:val="1"/>
                <w:color w:val="auto"/>
              </w:rPr>
              <w:t>Plan #001</w:t>
            </w:r>
          </w:p>
        </w:tc>
        <w:tc>
          <w:tcPr>
            <w:tcW w:w="900" w:type="dxa"/>
            <w:vAlign w:val="bottom"/>
            <w:tcBorders>
              <w:bottom w:val="single" w:sz="8" w:color="2B4C9B"/>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120" w:type="dxa"/>
            <w:vAlign w:val="bottom"/>
          </w:tcPr>
          <w:p>
            <w:pPr>
              <w:jc w:val="center"/>
              <w:ind w:left="259"/>
              <w:spacing w:after="0" w:line="158" w:lineRule="exact"/>
              <w:rPr>
                <w:sz w:val="20"/>
                <w:szCs w:val="20"/>
                <w:color w:val="auto"/>
              </w:rPr>
            </w:pPr>
            <w:r>
              <w:rPr>
                <w:rFonts w:ascii="Arial" w:cs="Arial" w:eastAsia="Arial" w:hAnsi="Arial"/>
                <w:sz w:val="16"/>
                <w:szCs w:val="16"/>
                <w:b w:val="1"/>
                <w:bCs w:val="1"/>
                <w:color w:val="auto"/>
              </w:rPr>
              <w:t>Description of Investment</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30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Identity of Issue, Borrower, Lessor, or Similar Party</w:t>
            </w:r>
          </w:p>
        </w:tc>
        <w:tc>
          <w:tcPr>
            <w:tcW w:w="3120" w:type="dxa"/>
            <w:vAlign w:val="bottom"/>
          </w:tcPr>
          <w:p>
            <w:pPr>
              <w:ind w:left="520"/>
              <w:spacing w:after="0" w:line="162" w:lineRule="exact"/>
              <w:rPr>
                <w:sz w:val="20"/>
                <w:szCs w:val="20"/>
                <w:color w:val="auto"/>
              </w:rPr>
            </w:pPr>
            <w:r>
              <w:rPr>
                <w:rFonts w:ascii="Arial" w:cs="Arial" w:eastAsia="Arial" w:hAnsi="Arial"/>
                <w:sz w:val="16"/>
                <w:szCs w:val="16"/>
                <w:b w:val="1"/>
                <w:bCs w:val="1"/>
                <w:color w:val="auto"/>
              </w:rPr>
              <w:t>Including Maturity Date, Rate of</w:t>
            </w:r>
          </w:p>
        </w:tc>
        <w:tc>
          <w:tcPr>
            <w:tcW w:w="760" w:type="dxa"/>
            <w:vAlign w:val="bottom"/>
            <w:vMerge w:val="restart"/>
          </w:tcPr>
          <w:p>
            <w:pPr>
              <w:jc w:val="center"/>
              <w:ind w:left="319"/>
              <w:spacing w:after="0"/>
              <w:rPr>
                <w:sz w:val="20"/>
                <w:szCs w:val="20"/>
                <w:color w:val="auto"/>
              </w:rPr>
            </w:pPr>
            <w:r>
              <w:rPr>
                <w:rFonts w:ascii="Arial" w:cs="Arial" w:eastAsia="Arial" w:hAnsi="Arial"/>
                <w:sz w:val="16"/>
                <w:szCs w:val="16"/>
                <w:b w:val="1"/>
                <w:bCs w:val="1"/>
                <w:color w:val="auto"/>
              </w:rPr>
              <w:t>Cost</w:t>
            </w:r>
          </w:p>
        </w:tc>
        <w:tc>
          <w:tcPr>
            <w:tcW w:w="17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Current Value</w:t>
            </w:r>
          </w:p>
        </w:tc>
        <w:tc>
          <w:tcPr>
            <w:tcW w:w="0" w:type="dxa"/>
            <w:vAlign w:val="bottom"/>
          </w:tcPr>
          <w:p>
            <w:pPr>
              <w:spacing w:after="0"/>
              <w:rPr>
                <w:sz w:val="1"/>
                <w:szCs w:val="1"/>
                <w:color w:val="auto"/>
              </w:rPr>
            </w:pPr>
          </w:p>
        </w:tc>
      </w:tr>
      <w:tr>
        <w:trPr>
          <w:trHeight w:val="215"/>
        </w:trPr>
        <w:tc>
          <w:tcPr>
            <w:tcW w:w="280" w:type="dxa"/>
            <w:vAlign w:val="bottom"/>
            <w:tcBorders>
              <w:bottom w:val="single" w:sz="8" w:color="2B4C9B"/>
            </w:tcBorders>
          </w:tcPr>
          <w:p>
            <w:pPr>
              <w:spacing w:after="0"/>
              <w:rPr>
                <w:sz w:val="18"/>
                <w:szCs w:val="18"/>
                <w:color w:val="auto"/>
              </w:rPr>
            </w:pPr>
          </w:p>
        </w:tc>
        <w:tc>
          <w:tcPr>
            <w:tcW w:w="5300" w:type="dxa"/>
            <w:vAlign w:val="bottom"/>
            <w:tcBorders>
              <w:bottom w:val="single" w:sz="8" w:color="2B4C9B"/>
            </w:tcBorders>
            <w:vMerge w:val="continue"/>
          </w:tcPr>
          <w:p>
            <w:pPr>
              <w:spacing w:after="0"/>
              <w:rPr>
                <w:sz w:val="18"/>
                <w:szCs w:val="18"/>
                <w:color w:val="auto"/>
              </w:rPr>
            </w:pPr>
          </w:p>
        </w:tc>
        <w:tc>
          <w:tcPr>
            <w:tcW w:w="3120" w:type="dxa"/>
            <w:vAlign w:val="bottom"/>
            <w:tcBorders>
              <w:bottom w:val="single" w:sz="8" w:color="2B4C9B"/>
            </w:tcBorders>
          </w:tcPr>
          <w:p>
            <w:pPr>
              <w:jc w:val="center"/>
              <w:ind w:left="259"/>
              <w:spacing w:after="0"/>
              <w:rPr>
                <w:sz w:val="20"/>
                <w:szCs w:val="20"/>
                <w:color w:val="auto"/>
              </w:rPr>
            </w:pPr>
            <w:r>
              <w:rPr>
                <w:rFonts w:ascii="Arial" w:cs="Arial" w:eastAsia="Arial" w:hAnsi="Arial"/>
                <w:sz w:val="16"/>
                <w:szCs w:val="16"/>
                <w:b w:val="1"/>
                <w:bCs w:val="1"/>
                <w:color w:val="auto"/>
              </w:rPr>
              <w:t>Interest and Collateral</w:t>
            </w:r>
          </w:p>
        </w:tc>
        <w:tc>
          <w:tcPr>
            <w:tcW w:w="760" w:type="dxa"/>
            <w:vAlign w:val="bottom"/>
            <w:tcBorders>
              <w:bottom w:val="single" w:sz="8" w:color="2B4C9B"/>
            </w:tcBorders>
            <w:vMerge w:val="continue"/>
          </w:tcPr>
          <w:p>
            <w:pPr>
              <w:spacing w:after="0"/>
              <w:rPr>
                <w:sz w:val="18"/>
                <w:szCs w:val="18"/>
                <w:color w:val="auto"/>
              </w:rPr>
            </w:pPr>
          </w:p>
        </w:tc>
        <w:tc>
          <w:tcPr>
            <w:tcW w:w="1780" w:type="dxa"/>
            <w:vAlign w:val="bottom"/>
            <w:tcBorders>
              <w:bottom w:val="single" w:sz="8" w:color="2B4C9B"/>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80" w:type="dxa"/>
            <w:vAlign w:val="bottom"/>
            <w:gridSpan w:val="2"/>
          </w:tcPr>
          <w:p>
            <w:pPr>
              <w:jc w:val="center"/>
              <w:ind w:right="519"/>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16"/>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Science Applications International Corporation common stock</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Company Stock</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jc w:val="right"/>
              <w:ind w:right="156"/>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109,413</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DFA Emerging Markets Core Equity Port: Institutional Shares</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57,227</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Dodge &amp; Cox Stock Fund</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190,702</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T. Rowe Price Institutional Mid Cap Equity Growth Fund</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176,487</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FTSE All-World ex-US Index: Institutional Shares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158,552</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Federal Money Market Fund</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291,555</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International Growth Fund Admiral Shares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196,022</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PRIMECAP Fund Admiral Shares</w:t>
            </w:r>
          </w:p>
        </w:tc>
        <w:tc>
          <w:tcPr>
            <w:tcW w:w="3120" w:type="dxa"/>
            <w:vAlign w:val="bottom"/>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320,717</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Short-Term Bond Index Fund Institutional</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Mutual Fund</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42,034</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Loomis Sayles Core Plus Fixed Income Trust Class C</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101,039</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 Rowe Price U.S. Mid Cap-Value Equity Trust; D Class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43,020</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Institutional 500 Index Trust</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563,817</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Institutional Extended Market Index Trust</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246,241</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Institutional Total Bond Market Index Trust</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226,916</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Target Retirement 2015 Trust Plus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63,837</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2020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220,444</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Target Retirement 2025 Trust Plus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327,945</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2030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322,426</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Target Retirement 2035 Trust Plus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208,664</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2040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160,134</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Target Retirement 2045 Trust Plus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133,860</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2050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92,452</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Target Retirement 2055 Trust Plus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41,380</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2060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18,577</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Vanguard Target Retirement 2065 Trust Plus</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4,943</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Vanguard Target Retirement Income Trust Plus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82,443</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Wellington Trust Small Cap 2000</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121,476</w:t>
            </w:r>
          </w:p>
        </w:tc>
        <w:tc>
          <w:tcPr>
            <w:tcW w:w="0" w:type="dxa"/>
            <w:vAlign w:val="bottom"/>
          </w:tcPr>
          <w:p>
            <w:pPr>
              <w:spacing w:after="0"/>
              <w:rPr>
                <w:sz w:val="1"/>
                <w:szCs w:val="1"/>
                <w:color w:val="auto"/>
              </w:rPr>
            </w:pPr>
          </w:p>
        </w:tc>
      </w:tr>
      <w:tr>
        <w:trPr>
          <w:trHeight w:val="213"/>
        </w:trPr>
        <w:tc>
          <w:tcPr>
            <w:tcW w:w="280" w:type="dxa"/>
            <w:vAlign w:val="bottom"/>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rPr>
                <w:sz w:val="20"/>
                <w:szCs w:val="20"/>
                <w:color w:val="auto"/>
              </w:rPr>
            </w:pPr>
            <w:r>
              <w:rPr>
                <w:rFonts w:ascii="Arial" w:cs="Arial" w:eastAsia="Arial" w:hAnsi="Arial"/>
                <w:sz w:val="16"/>
                <w:szCs w:val="16"/>
                <w:color w:val="auto"/>
              </w:rPr>
              <w:t>Wellington Trust TIPS</w:t>
            </w:r>
          </w:p>
        </w:tc>
        <w:tc>
          <w:tcPr>
            <w:tcW w:w="3120" w:type="dxa"/>
            <w:vAlign w:val="bottom"/>
          </w:tcPr>
          <w:p>
            <w:pPr>
              <w:ind w:left="500"/>
              <w:spacing w:after="0"/>
              <w:rPr>
                <w:sz w:val="20"/>
                <w:szCs w:val="20"/>
                <w:color w:val="auto"/>
              </w:rPr>
            </w:pPr>
            <w:r>
              <w:rPr>
                <w:rFonts w:ascii="Arial" w:cs="Arial" w:eastAsia="Arial" w:hAnsi="Arial"/>
                <w:sz w:val="16"/>
                <w:szCs w:val="16"/>
                <w:color w:val="auto"/>
              </w:rPr>
              <w:t>Common Collective Trust</w:t>
            </w:r>
          </w:p>
        </w:tc>
        <w:tc>
          <w:tcPr>
            <w:tcW w:w="760" w:type="dxa"/>
            <w:vAlign w:val="bottom"/>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13,565</w:t>
            </w:r>
          </w:p>
        </w:tc>
        <w:tc>
          <w:tcPr>
            <w:tcW w:w="0" w:type="dxa"/>
            <w:vAlign w:val="bottom"/>
          </w:tcPr>
          <w:p>
            <w:pPr>
              <w:spacing w:after="0"/>
              <w:rPr>
                <w:sz w:val="1"/>
                <w:szCs w:val="1"/>
                <w:color w:val="auto"/>
              </w:rPr>
            </w:pPr>
          </w:p>
        </w:tc>
      </w:tr>
      <w:tr>
        <w:trPr>
          <w:trHeight w:val="219"/>
        </w:trPr>
        <w:tc>
          <w:tcPr>
            <w:tcW w:w="2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95"/>
              </w:rPr>
              <w:t>*</w:t>
            </w:r>
          </w:p>
        </w:tc>
        <w:tc>
          <w:tcPr>
            <w:tcW w:w="53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Self-Directed Brokerage Fund</w:t>
            </w:r>
          </w:p>
        </w:tc>
        <w:tc>
          <w:tcPr>
            <w:tcW w:w="3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Various</w:t>
            </w:r>
          </w:p>
        </w:tc>
        <w:tc>
          <w:tcPr>
            <w:tcW w:w="760" w:type="dxa"/>
            <w:vAlign w:val="bottom"/>
            <w:shd w:val="clear" w:color="auto" w:fill="CFF0FC"/>
          </w:tcPr>
          <w:p>
            <w:pPr>
              <w:jc w:val="center"/>
              <w:ind w:left="319"/>
              <w:spacing w:after="0"/>
              <w:rPr>
                <w:sz w:val="20"/>
                <w:szCs w:val="20"/>
                <w:color w:val="auto"/>
              </w:rPr>
            </w:pPr>
            <w:r>
              <w:rPr>
                <w:rFonts w:ascii="Arial" w:cs="Arial" w:eastAsia="Arial" w:hAnsi="Arial"/>
                <w:sz w:val="16"/>
                <w:szCs w:val="16"/>
                <w:color w:val="auto"/>
                <w:w w:val="96"/>
              </w:rPr>
              <w:t>**</w:t>
            </w:r>
          </w:p>
        </w:tc>
        <w:tc>
          <w:tcPr>
            <w:tcW w:w="8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75,026</w:t>
            </w:r>
          </w:p>
        </w:tc>
        <w:tc>
          <w:tcPr>
            <w:tcW w:w="0" w:type="dxa"/>
            <w:vAlign w:val="bottom"/>
          </w:tcPr>
          <w:p>
            <w:pPr>
              <w:spacing w:after="0"/>
              <w:rPr>
                <w:sz w:val="1"/>
                <w:szCs w:val="1"/>
                <w:color w:val="auto"/>
              </w:rPr>
            </w:pPr>
          </w:p>
        </w:tc>
      </w:tr>
      <w:tr>
        <w:trPr>
          <w:trHeight w:val="177"/>
        </w:trPr>
        <w:tc>
          <w:tcPr>
            <w:tcW w:w="280" w:type="dxa"/>
            <w:vAlign w:val="bottom"/>
          </w:tcPr>
          <w:p>
            <w:pPr>
              <w:jc w:val="right"/>
              <w:ind w:right="119"/>
              <w:spacing w:after="0" w:line="178" w:lineRule="exact"/>
              <w:rPr>
                <w:sz w:val="20"/>
                <w:szCs w:val="20"/>
                <w:color w:val="auto"/>
              </w:rPr>
            </w:pPr>
            <w:r>
              <w:rPr>
                <w:rFonts w:ascii="Arial" w:cs="Arial" w:eastAsia="Arial" w:hAnsi="Arial"/>
                <w:sz w:val="16"/>
                <w:szCs w:val="16"/>
                <w:color w:val="auto"/>
                <w:w w:val="95"/>
              </w:rPr>
              <w:t>*</w:t>
            </w:r>
          </w:p>
        </w:tc>
        <w:tc>
          <w:tcPr>
            <w:tcW w:w="5300" w:type="dxa"/>
            <w:vAlign w:val="bottom"/>
          </w:tcPr>
          <w:p>
            <w:pPr>
              <w:ind w:left="180"/>
              <w:spacing w:after="0" w:line="178" w:lineRule="exact"/>
              <w:rPr>
                <w:sz w:val="20"/>
                <w:szCs w:val="20"/>
                <w:color w:val="auto"/>
              </w:rPr>
            </w:pPr>
            <w:r>
              <w:rPr>
                <w:rFonts w:ascii="Arial" w:cs="Arial" w:eastAsia="Arial" w:hAnsi="Arial"/>
                <w:sz w:val="16"/>
                <w:szCs w:val="16"/>
                <w:color w:val="auto"/>
              </w:rPr>
              <w:t>Notes Receivable from Participants</w:t>
            </w:r>
          </w:p>
        </w:tc>
        <w:tc>
          <w:tcPr>
            <w:tcW w:w="3120" w:type="dxa"/>
            <w:vAlign w:val="bottom"/>
          </w:tcPr>
          <w:p>
            <w:pPr>
              <w:ind w:left="500"/>
              <w:spacing w:after="0" w:line="178" w:lineRule="exact"/>
              <w:rPr>
                <w:sz w:val="20"/>
                <w:szCs w:val="20"/>
                <w:color w:val="auto"/>
              </w:rPr>
            </w:pPr>
            <w:r>
              <w:rPr>
                <w:rFonts w:ascii="Arial" w:cs="Arial" w:eastAsia="Arial" w:hAnsi="Arial"/>
                <w:sz w:val="16"/>
                <w:szCs w:val="16"/>
                <w:color w:val="auto"/>
              </w:rPr>
              <w:t>Loans/Interest rates from 4.25%</w:t>
            </w:r>
          </w:p>
        </w:tc>
        <w:tc>
          <w:tcPr>
            <w:tcW w:w="760" w:type="dxa"/>
            <w:vAlign w:val="bottom"/>
          </w:tcPr>
          <w:p>
            <w:pPr>
              <w:jc w:val="center"/>
              <w:ind w:left="319"/>
              <w:spacing w:after="0" w:line="178" w:lineRule="exact"/>
              <w:rPr>
                <w:sz w:val="20"/>
                <w:szCs w:val="20"/>
                <w:color w:val="auto"/>
              </w:rPr>
            </w:pPr>
            <w:r>
              <w:rPr>
                <w:rFonts w:ascii="Arial" w:cs="Arial" w:eastAsia="Arial" w:hAnsi="Arial"/>
                <w:sz w:val="16"/>
                <w:szCs w:val="16"/>
                <w:color w:val="auto"/>
                <w:w w:val="96"/>
              </w:rPr>
              <w:t>**</w:t>
            </w:r>
          </w:p>
        </w:tc>
        <w:tc>
          <w:tcPr>
            <w:tcW w:w="88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29,852</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120" w:type="dxa"/>
            <w:vAlign w:val="bottom"/>
          </w:tcPr>
          <w:p>
            <w:pPr>
              <w:ind w:left="660"/>
              <w:spacing w:after="0" w:line="162" w:lineRule="exact"/>
              <w:rPr>
                <w:sz w:val="20"/>
                <w:szCs w:val="20"/>
                <w:color w:val="auto"/>
              </w:rPr>
            </w:pPr>
            <w:r>
              <w:rPr>
                <w:rFonts w:ascii="Arial" w:cs="Arial" w:eastAsia="Arial" w:hAnsi="Arial"/>
                <w:sz w:val="16"/>
                <w:szCs w:val="16"/>
                <w:color w:val="auto"/>
              </w:rPr>
              <w:t>to 9.25%; maturities from</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120" w:type="dxa"/>
            <w:vAlign w:val="bottom"/>
          </w:tcPr>
          <w:p>
            <w:pPr>
              <w:jc w:val="center"/>
              <w:ind w:left="299"/>
              <w:spacing w:after="0"/>
              <w:rPr>
                <w:sz w:val="20"/>
                <w:szCs w:val="20"/>
                <w:color w:val="auto"/>
              </w:rPr>
            </w:pPr>
            <w:r>
              <w:rPr>
                <w:rFonts w:ascii="Arial" w:cs="Arial" w:eastAsia="Arial" w:hAnsi="Arial"/>
                <w:sz w:val="16"/>
                <w:szCs w:val="16"/>
                <w:color w:val="auto"/>
              </w:rPr>
              <w:t>January 2021 to October 2050</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p>
      <w:pPr>
        <w:ind w:left="460" w:hanging="434"/>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Indicates party-in-interest to the Plan</w:t>
      </w:r>
    </w:p>
    <w:p>
      <w:pPr>
        <w:spacing w:after="0" w:line="32" w:lineRule="exact"/>
        <w:rPr>
          <w:sz w:val="20"/>
          <w:szCs w:val="20"/>
          <w:color w:val="auto"/>
        </w:rPr>
      </w:pPr>
    </w:p>
    <w:p>
      <w:pPr>
        <w:ind w:left="460" w:hanging="434"/>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 applicable - Historical cost information is not required to be presented, as all investments are participant-directed.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580" w:hanging="121"/>
        <w:spacing w:after="0"/>
        <w:tabs>
          <w:tab w:leader="none" w:pos="5580" w:val="left"/>
        </w:tabs>
        <w:numPr>
          <w:ilvl w:val="1"/>
          <w:numId w:val="9"/>
        </w:numPr>
        <w:rPr>
          <w:rFonts w:ascii="Arial" w:cs="Arial" w:eastAsia="Arial" w:hAnsi="Arial"/>
          <w:sz w:val="20"/>
          <w:szCs w:val="20"/>
          <w:color w:val="2B4C9B"/>
        </w:rPr>
      </w:pPr>
      <w:r>
        <w:rPr>
          <w:rFonts w:ascii="Arial" w:cs="Arial" w:eastAsia="Arial" w:hAnsi="Arial"/>
          <w:sz w:val="18"/>
          <w:szCs w:val="18"/>
          <w:color w:val="2B4C9B"/>
        </w:rPr>
        <w:t>8 -</w:t>
      </w:r>
    </w:p>
    <w:p>
      <w:pPr>
        <w:sectPr>
          <w:pgSz w:w="11900" w:h="16838" w:orient="portrait"/>
          <w:cols w:equalWidth="0" w:num="1">
            <w:col w:w="11240"/>
          </w:cols>
          <w:pgMar w:left="320" w:top="92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2B4C9B"/>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Science Applications International Corporation Benefit Plans Committee has duly caused this annual report to be signed on its behalf by the undersigned 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Science Applications International Corporation Benefit Plans Committee</w:t>
      </w:r>
    </w:p>
    <w:p>
      <w:pPr>
        <w:spacing w:after="0" w:line="387" w:lineRule="exact"/>
        <w:rPr>
          <w:sz w:val="20"/>
          <w:szCs w:val="20"/>
          <w:color w:val="auto"/>
        </w:rPr>
      </w:pPr>
    </w:p>
    <w:p>
      <w:pPr>
        <w:ind w:left="40"/>
        <w:spacing w:after="0"/>
        <w:tabs>
          <w:tab w:leader="none" w:pos="7500" w:val="left"/>
        </w:tabs>
        <w:rPr>
          <w:sz w:val="20"/>
          <w:szCs w:val="20"/>
          <w:color w:val="auto"/>
        </w:rPr>
      </w:pPr>
      <w:r>
        <w:rPr>
          <w:rFonts w:ascii="Arial" w:cs="Arial" w:eastAsia="Arial" w:hAnsi="Arial"/>
          <w:sz w:val="18"/>
          <w:szCs w:val="18"/>
          <w:color w:val="auto"/>
        </w:rPr>
        <w:t>Date: June 24, 2021</w:t>
      </w:r>
      <w:r>
        <w:rPr>
          <w:sz w:val="20"/>
          <w:szCs w:val="20"/>
          <w:color w:val="auto"/>
        </w:rPr>
        <w:tab/>
      </w:r>
      <w:r>
        <w:rPr>
          <w:rFonts w:ascii="Arial" w:cs="Arial" w:eastAsia="Arial" w:hAnsi="Arial"/>
          <w:sz w:val="17"/>
          <w:szCs w:val="17"/>
          <w:color w:val="auto"/>
        </w:rPr>
        <w:t>/s/ Paul C. Lehrer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6350</wp:posOffset>
            </wp:positionV>
            <wp:extent cx="3806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jc w:val="center"/>
        <w:ind w:left="5200"/>
        <w:spacing w:after="0"/>
        <w:rPr>
          <w:sz w:val="20"/>
          <w:szCs w:val="20"/>
          <w:color w:val="auto"/>
        </w:rPr>
      </w:pPr>
      <w:r>
        <w:rPr>
          <w:rFonts w:ascii="Arial" w:cs="Arial" w:eastAsia="Arial" w:hAnsi="Arial"/>
          <w:sz w:val="18"/>
          <w:szCs w:val="18"/>
          <w:b w:val="1"/>
          <w:bCs w:val="1"/>
          <w:color w:val="auto"/>
        </w:rPr>
        <w:t>Paul C. Lehrer</w:t>
      </w:r>
    </w:p>
    <w:p>
      <w:pPr>
        <w:spacing w:after="0" w:line="32"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Authorized Official</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9 -</w:t>
      </w:r>
    </w:p>
    <w:p>
      <w:pPr>
        <w:sectPr>
          <w:pgSz w:w="11900" w:h="16838" w:orient="portrait"/>
          <w:cols w:equalWidth="0" w:num="1">
            <w:col w:w="11240"/>
          </w:cols>
          <w:pgMar w:left="320" w:top="927" w:right="339" w:bottom="1440" w:gutter="0" w:footer="0" w:header="0"/>
        </w:sectPr>
      </w:pPr>
    </w:p>
    <w:bookmarkStart w:id="11" w:name="page12"/>
    <w:bookmarkEnd w:id="11"/>
    <w:p>
      <w:pPr>
        <w:ind w:left="4860"/>
        <w:spacing w:after="0"/>
        <w:rPr>
          <w:sz w:val="20"/>
          <w:szCs w:val="20"/>
          <w:color w:val="auto"/>
        </w:rPr>
      </w:pPr>
      <w:r>
        <w:rPr>
          <w:rFonts w:ascii="Arial" w:cs="Arial" w:eastAsia="Arial" w:hAnsi="Arial"/>
          <w:sz w:val="17"/>
          <w:szCs w:val="17"/>
          <w:b w:val="1"/>
          <w:bCs w:val="1"/>
          <w:color w:val="2B4C9B"/>
        </w:rPr>
        <w:t>Exhibit Index</w:t>
      </w:r>
    </w:p>
    <w:p>
      <w:pPr>
        <w:spacing w:after="0" w:line="39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2B4C9B"/>
        </w:rPr>
        <w:t>Exhibit No.</w:t>
      </w:r>
      <w:r>
        <w:rPr>
          <w:sz w:val="20"/>
          <w:szCs w:val="20"/>
          <w:color w:val="auto"/>
        </w:rPr>
        <w:tab/>
      </w:r>
      <w:r>
        <w:rPr>
          <w:rFonts w:ascii="Arial" w:cs="Arial" w:eastAsia="Arial" w:hAnsi="Arial"/>
          <w:sz w:val="17"/>
          <w:szCs w:val="17"/>
          <w:b w:val="1"/>
          <w:bCs w:val="1"/>
          <w:color w:val="2B4C9B"/>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20320</wp:posOffset>
            </wp:positionV>
            <wp:extent cx="7046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79" w:lineRule="exact"/>
        <w:rPr>
          <w:sz w:val="20"/>
          <w:szCs w:val="20"/>
          <w:color w:val="auto"/>
        </w:rPr>
      </w:pPr>
    </w:p>
    <w:p>
      <w:pPr>
        <w:spacing w:after="0"/>
        <w:tabs>
          <w:tab w:leader="none" w:pos="1240" w:val="left"/>
        </w:tabs>
        <w:rPr>
          <w:rFonts w:ascii="Arial" w:cs="Arial" w:eastAsia="Arial" w:hAnsi="Arial"/>
          <w:sz w:val="17"/>
          <w:szCs w:val="17"/>
          <w:u w:val="single" w:color="auto"/>
          <w:color w:val="2B4C9B"/>
        </w:rPr>
      </w:pPr>
      <w:hyperlink w:anchor="page13">
        <w:r>
          <w:rPr>
            <w:rFonts w:ascii="Arial" w:cs="Arial" w:eastAsia="Arial" w:hAnsi="Arial"/>
            <w:sz w:val="18"/>
            <w:szCs w:val="18"/>
            <w:u w:val="single" w:color="auto"/>
            <w:color w:val="2B4C9B"/>
          </w:rPr>
          <w:t>23.1</w:t>
        </w:r>
      </w:hyperlink>
      <w:r>
        <w:rPr>
          <w:rFonts w:ascii="Arial" w:cs="Arial" w:eastAsia="Arial" w:hAnsi="Arial"/>
          <w:sz w:val="18"/>
          <w:szCs w:val="18"/>
          <w:u w:val="single" w:color="auto"/>
          <w:color w:val="2B4C9B"/>
        </w:rPr>
        <w:tab/>
      </w:r>
      <w:hyperlink w:anchor="page13">
        <w:r>
          <w:rPr>
            <w:rFonts w:ascii="Arial" w:cs="Arial" w:eastAsia="Arial" w:hAnsi="Arial"/>
            <w:sz w:val="17"/>
            <w:szCs w:val="17"/>
            <w:u w:val="single" w:color="auto"/>
            <w:color w:val="2B4C9B"/>
          </w:rPr>
          <w:t>Consent of Independent Registered Public Accounting Firm</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20"/>
          <w:szCs w:val="20"/>
          <w:color w:val="2B4C9B"/>
        </w:rPr>
        <w:t xml:space="preserve">- </w:t>
      </w:r>
      <w:r>
        <w:rPr>
          <w:rFonts w:ascii="Arial" w:cs="Arial" w:eastAsia="Arial" w:hAnsi="Arial"/>
          <w:sz w:val="17"/>
          <w:szCs w:val="17"/>
          <w:color w:val="2B4C9B"/>
        </w:rPr>
        <w:t>10 -</w:t>
      </w:r>
    </w:p>
    <w:p>
      <w:pPr>
        <w:sectPr>
          <w:pgSz w:w="11900" w:h="16838" w:orient="portrait"/>
          <w:cols w:equalWidth="0" w:num="1">
            <w:col w:w="9939"/>
          </w:cols>
          <w:pgMar w:left="520" w:top="927"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010202"/>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202"/>
        </w:rPr>
        <w:t>CONSENT OF INDEPENDENT REGISTERED PUBLIC ACCOUNTING FIRM</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010202"/>
        </w:rPr>
        <w:t>We consent to the incorporation by reference in the Registration Statement No. 333-191436 and Registration Statement No.333-203222 on Form S-8 of Science Applications International Corporation Retirement Plan of our report dated June 24, 2021, with respect to the statements of net assets available for benefits of Science Applications International Corporation Retirement Plan as of December 31, 2020 and 2019, the related statements of changes in net assets available for benefits for the years then ended, and the related supplemental schedule as of December 31, 2020, which report appears in the December 31, 2020 annual report on Form 11-K of Science Applications International Corporation Retirement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010202"/>
        </w:rPr>
        <w:t>/s/ Mayer Hoffman McCann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10202"/>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10202"/>
        </w:rPr>
        <w:t>June 24, 2021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2021-06-24T15:09:43Z</dcterms:created>
  <dcterms:modified xsi:type="dcterms:W3CDTF">2021-06-24T15:09:43Z</dcterms:modified>
</cp:coreProperties>
</file>