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As filed with the Securities and Exchange Commission on August 31, 2026 </w:t>
      </w:r>
    </w:p>
    <w:p>
      <w:pPr>
        <w:pStyle w:val="TextBody"/>
        <w:bidi w:val="0"/>
        <w:spacing w:lineRule="auto" w:line="276" w:before="0" w:after="0"/>
        <w:jc w:val="center"/>
        <w:rPr>
          <w:rFonts w:ascii="Arial;sans-serif" w:hAnsi="Arial;sans-serif"/>
          <w:b w:val="false"/>
          <w:color w:val="000000"/>
          <w:sz w:val="20"/>
        </w:rPr>
      </w:pPr>
      <w:r>
        <w:rPr>
          <w:rFonts w:ascii="Arial;sans-serif" w:hAnsi="Arial;sans-serif"/>
          <w:b w:val="false"/>
          <w:color w:val="000000"/>
          <w:sz w:val="20"/>
        </w:rPr>
        <w:t>Registration No. 333-</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Form S-8</w:t>
      </w:r>
    </w:p>
    <w:p>
      <w:pPr>
        <w:pStyle w:val="TextBody"/>
        <w:bidi w:val="0"/>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REGISTRATION STATEMENT</w:t>
      </w:r>
    </w:p>
    <w:p>
      <w:pPr>
        <w:pStyle w:val="TextBody"/>
        <w:bidi w:val="0"/>
        <w:spacing w:lineRule="auto" w:line="264" w:before="0" w:after="0"/>
        <w:jc w:val="center"/>
        <w:rPr>
          <w:rFonts w:ascii="Arial;sans-serif" w:hAnsi="Arial;sans-serif"/>
          <w:b w:val="false"/>
          <w:i/>
          <w:color w:val="000000"/>
          <w:sz w:val="24"/>
        </w:rPr>
      </w:pPr>
      <w:r>
        <w:rPr>
          <w:rFonts w:ascii="Arial;sans-serif" w:hAnsi="Arial;sans-serif"/>
          <w:b w:val="false"/>
          <w:i/>
          <w:color w:val="000000"/>
          <w:sz w:val="24"/>
        </w:rPr>
        <w:t>UNDER</w:t>
      </w:r>
    </w:p>
    <w:p>
      <w:pPr>
        <w:pStyle w:val="TextBody"/>
        <w:bidi w:val="0"/>
        <w:spacing w:lineRule="auto" w:line="264" w:before="0" w:after="0"/>
        <w:jc w:val="center"/>
        <w:rPr>
          <w:rFonts w:ascii="Arial;sans-serif" w:hAnsi="Arial;sans-serif"/>
          <w:b w:val="false"/>
          <w:i/>
          <w:color w:val="000000"/>
          <w:sz w:val="24"/>
        </w:rPr>
      </w:pPr>
      <w:r>
        <w:rPr>
          <w:rFonts w:ascii="Arial;sans-serif" w:hAnsi="Arial;sans-serif"/>
          <w:b w:val="false"/>
          <w:i/>
          <w:color w:val="000000"/>
          <w:sz w:val="24"/>
        </w:rPr>
        <w:t xml:space="preserve">THE SECURITIES ACT OF 1933 </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60" w:after="283"/>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before="0" w:after="0"/>
        <w:jc w:val="center"/>
        <w:rPr/>
      </w:pPr>
      <w:r>
        <w:rPr/>
      </w:r>
    </w:p>
    <w:tbl>
      <w:tblPr>
        <w:tblW w:w="5170" w:type="dxa"/>
        <w:jc w:val="center"/>
        <w:tblInd w:w="0" w:type="dxa"/>
        <w:tblLayout w:type="fixed"/>
        <w:tblCellMar>
          <w:top w:w="28" w:type="dxa"/>
          <w:left w:w="28" w:type="dxa"/>
          <w:bottom w:w="28" w:type="dxa"/>
          <w:right w:w="28" w:type="dxa"/>
        </w:tblCellMar>
      </w:tblPr>
      <w:tblGrid>
        <w:gridCol w:w="1182"/>
        <w:gridCol w:w="1039"/>
        <w:gridCol w:w="1048"/>
        <w:gridCol w:w="109"/>
        <w:gridCol w:w="109"/>
        <w:gridCol w:w="109"/>
        <w:gridCol w:w="460"/>
        <w:gridCol w:w="460"/>
        <w:gridCol w:w="654"/>
      </w:tblGrid>
      <w:tr>
        <w:trPr/>
        <w:tc>
          <w:tcPr>
            <w:tcW w:w="118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46-1932921</w:t>
            </w:r>
          </w:p>
        </w:tc>
      </w:tr>
      <w:tr>
        <w:trPr/>
        <w:tc>
          <w:tcPr>
            <w:tcW w:w="32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Identification No.)</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12010 Sunset Hills Road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Reston, Virginia</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20190</w:t>
            </w:r>
          </w:p>
          <w:p>
            <w:pPr>
              <w:pStyle w:val="TableContents"/>
              <w:bidi w:val="0"/>
              <w:spacing w:lineRule="auto" w:line="268" w:before="0" w:after="0"/>
              <w:jc w:val="center"/>
              <w:rPr>
                <w:rFonts w:ascii="Arial;sans-serif" w:hAnsi="Arial;sans-serif"/>
                <w:b/>
                <w:color w:val="000000"/>
                <w:sz w:val="16"/>
              </w:rPr>
            </w:pPr>
            <w:r>
              <w:rPr>
                <w:rFonts w:ascii="Arial;sans-serif" w:hAnsi="Arial;sans-serif"/>
                <w:b/>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Science Applications International Corporation 2023 Equity Incentive Plan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(Full title of the plan)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Hilary L. Hageman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Executive Vice President, General Counsel and Corporate Secretary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Science Applications International Corporation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12010 Sunset Hills Road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Reston, Virginia 20190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(703) 676-4300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(Name, address and 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 xml:space="preserve">Copy to: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W. Morgan Burns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Faegre Drinker Biddle &amp; Reath LLP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2200 Wells Fargo Center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90 South Seventh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Minneapolis, MN 55402-3901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(612) 766-7000 </w:t>
      </w:r>
    </w:p>
    <w:p>
      <w:pPr>
        <w:pStyle w:val="TextBody"/>
        <w:bidi w:val="0"/>
        <w:spacing w:lineRule="auto" w:line="288" w:before="1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w:t>
      </w:r>
    </w:p>
    <w:p>
      <w:pPr>
        <w:pStyle w:val="TextBody"/>
        <w:bidi w:val="0"/>
        <w:spacing w:before="0" w:after="0"/>
        <w:jc w:val="center"/>
        <w:rPr/>
      </w:pPr>
      <w:r>
        <w:rPr/>
      </w:r>
    </w:p>
    <w:p>
      <w:pPr>
        <w:pStyle w:val="TextBody"/>
        <w:bidi w:val="0"/>
        <w:spacing w:before="100" w:after="283"/>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 xml:space="preserve">EXPLANATORY NOTE </w:t>
      </w:r>
    </w:p>
    <w:p>
      <w:pPr>
        <w:pStyle w:val="TextBody"/>
        <w:bidi w:val="0"/>
        <w:spacing w:before="0" w:after="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This Registration Statement on Form S-8 (this “Registration Statement”) is being filed for the purpose of registering an additional 1,088,000 shares of common stock, par value $0.0001 per share (the “Common Stock”), of Science Applications International Corporation, a Delaware corporation (the “Company”), to be issued pursuant to the Science Applications International Corporation 2023 Equity Incentive Plan (as amended, the “2023 Plan”). In accordance with Section E of the General Instructions to Form S-8, the contents of the following Registration Statements on Form S-8 relating to the 2023 Plan previously filed with the Securities and Exchange Commission (the “Commission”) are incorporated herein by reference except to the extent that such content is superseded by the items appearing below: File No. 333-272484 and File No. 333-294328.</w:t>
      </w:r>
    </w:p>
    <w:p>
      <w:pPr>
        <w:pStyle w:val="TextBody"/>
        <w:bidi w:val="0"/>
        <w:spacing w:before="0" w:after="0"/>
        <w:ind w:left="0" w:right="0" w:firstLine="720"/>
        <w:jc w:val="both"/>
        <w:rPr/>
      </w:pPr>
      <w:r>
        <w:rPr/>
      </w:r>
    </w:p>
    <w:p>
      <w:pPr>
        <w:pStyle w:val="TextBody"/>
        <w:bidi w:val="0"/>
        <w:spacing w:lineRule="auto" w:line="288" w:before="0" w:after="60"/>
        <w:ind w:left="0" w:right="0" w:firstLine="720"/>
        <w:jc w:val="center"/>
        <w:rPr>
          <w:rFonts w:ascii="Arial;sans-serif" w:hAnsi="Arial;sans-serif"/>
          <w:b/>
          <w:color w:val="000000"/>
          <w:sz w:val="20"/>
        </w:rPr>
      </w:pPr>
      <w:r>
        <w:rPr>
          <w:rFonts w:ascii="Arial;sans-serif" w:hAnsi="Arial;sans-serif"/>
          <w:b/>
          <w:color w:val="000000"/>
          <w:sz w:val="20"/>
        </w:rPr>
        <w:t xml:space="preserve">PART I </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 xml:space="preserve">INFORMATION REQUIRED IN THE SECTION 10(a) PROSPECTUS </w:t>
      </w:r>
    </w:p>
    <w:p>
      <w:pPr>
        <w:pStyle w:val="TextBody"/>
        <w:bidi w:val="0"/>
        <w:spacing w:before="0" w:after="0"/>
        <w:jc w:val="center"/>
        <w:rPr/>
      </w:pPr>
      <w:r>
        <w:rPr/>
      </w:r>
    </w:p>
    <w:p>
      <w:pPr>
        <w:pStyle w:val="TextBody"/>
        <w:bidi w:val="0"/>
        <w:spacing w:lineRule="auto" w:line="288" w:before="0" w:after="0"/>
        <w:ind w:left="0" w:right="0" w:firstLine="490"/>
        <w:jc w:val="both"/>
        <w:rPr>
          <w:rFonts w:ascii="Arial;sans-serif" w:hAnsi="Arial;sans-serif"/>
          <w:b w:val="false"/>
          <w:color w:val="000000"/>
          <w:sz w:val="20"/>
        </w:rPr>
      </w:pPr>
      <w:r>
        <w:rPr>
          <w:rFonts w:ascii="Arial;sans-serif" w:hAnsi="Arial;sans-serif"/>
          <w:b w:val="false"/>
          <w:color w:val="000000"/>
          <w:sz w:val="20"/>
        </w:rPr>
        <w:t>The information specified in Part I of Form S-8 is not required to be filed with the Commission either as part of this Registration Statement or as prospectuses or prospectus supplements pursuant to Rule 424 under the Securities Act of 1933, as amended (the “Securities Act”). The information required in the Section 10(a) prospectus is included in the documents being maintained and delivered by the Company as required by Rule 428 under the Securities Act. Such documents and the documents incorporated by reference in this Registration Statement pursuant to Item 3 of Part II hereof, taken together, constitute a prospectus that meets the requirements of Section 10(a) of the Securities Act.</w:t>
      </w:r>
    </w:p>
    <w:p>
      <w:pPr>
        <w:pStyle w:val="TextBody"/>
        <w:bidi w:val="0"/>
        <w:spacing w:before="0" w:after="0"/>
        <w:ind w:left="0" w:right="0" w:firstLine="490"/>
        <w:jc w:val="both"/>
        <w:rPr/>
      </w:pPr>
      <w:r>
        <w:rPr/>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 xml:space="preserve">PART II </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 xml:space="preserve">INFORMATION REQUIRED IN THE REGISTRATION STATEMENT </w:t>
      </w:r>
    </w:p>
    <w:p>
      <w:pPr>
        <w:pStyle w:val="TextBody"/>
        <w:bidi w:val="0"/>
        <w:spacing w:before="0" w:after="0"/>
        <w:jc w:val="center"/>
        <w:rPr/>
      </w:pPr>
      <w:r>
        <w:rPr/>
      </w:r>
    </w:p>
    <w:tbl>
      <w:tblPr>
        <w:tblW w:w="4829" w:type="dxa"/>
        <w:jc w:val="left"/>
        <w:tblInd w:w="0" w:type="dxa"/>
        <w:tblLayout w:type="fixed"/>
        <w:tblCellMar>
          <w:top w:w="28" w:type="dxa"/>
          <w:left w:w="28" w:type="dxa"/>
          <w:bottom w:w="28" w:type="dxa"/>
          <w:right w:w="28" w:type="dxa"/>
        </w:tblCellMar>
      </w:tblPr>
      <w:tblGrid>
        <w:gridCol w:w="271"/>
        <w:gridCol w:w="238"/>
        <w:gridCol w:w="241"/>
        <w:gridCol w:w="1194"/>
        <w:gridCol w:w="1194"/>
        <w:gridCol w:w="169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3.</w:t>
            </w:r>
          </w:p>
        </w:tc>
        <w:tc>
          <w:tcPr>
            <w:tcW w:w="407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Incorporation of Documents by Reference.</w:t>
            </w:r>
          </w:p>
        </w:tc>
      </w:tr>
    </w:tbl>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following documents filed by the Company with the Commission are hereby incorporated by reference into this Registration Statement: </w:t>
      </w:r>
    </w:p>
    <w:p>
      <w:pPr>
        <w:pStyle w:val="TextBody"/>
        <w:bidi w:val="0"/>
        <w:spacing w:before="0" w:after="0"/>
        <w:ind w:left="0" w:right="0" w:firstLine="490"/>
        <w:jc w:val="left"/>
        <w:rPr/>
      </w:pPr>
      <w:r>
        <w:rPr/>
      </w:r>
    </w:p>
    <w:p>
      <w:pPr>
        <w:pStyle w:val="TextBody"/>
        <w:bidi w:val="0"/>
        <w:spacing w:lineRule="auto" w:line="288" w:before="0" w:after="0"/>
        <w:ind w:left="0" w:right="0" w:firstLine="130"/>
        <w:jc w:val="left"/>
        <w:rPr/>
      </w:pPr>
      <w:r>
        <w:rPr>
          <w:rFonts w:ascii="Arial;sans-serif" w:hAnsi="Arial;sans-serif"/>
          <w:b w:val="false"/>
          <w:color w:val="000000"/>
          <w:sz w:val="20"/>
        </w:rPr>
        <w:t xml:space="preserve">(a)the Company's Annual Report on </w:t>
      </w:r>
      <w:hyperlink r:id="rId2">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fiscal year ended January 30, 2026, filed with the Commission on March 16, 2026;</w:t>
      </w:r>
    </w:p>
    <w:p>
      <w:pPr>
        <w:pStyle w:val="TextBody"/>
        <w:bidi w:val="0"/>
        <w:spacing w:before="0" w:after="0"/>
        <w:ind w:left="0" w:right="0" w:firstLine="490"/>
        <w:jc w:val="left"/>
        <w:rPr/>
      </w:pPr>
      <w:r>
        <w:rPr/>
      </w:r>
    </w:p>
    <w:p>
      <w:pPr>
        <w:pStyle w:val="TextBody"/>
        <w:bidi w:val="0"/>
        <w:spacing w:lineRule="auto" w:line="288" w:before="0" w:after="0"/>
        <w:ind w:left="0" w:right="0" w:firstLine="130"/>
        <w:jc w:val="left"/>
        <w:rPr/>
      </w:pPr>
      <w:r>
        <w:rPr>
          <w:rFonts w:ascii="Arial;sans-serif" w:hAnsi="Arial;sans-serif"/>
          <w:b w:val="false"/>
          <w:color w:val="000000"/>
          <w:sz w:val="20"/>
        </w:rPr>
        <w:t xml:space="preserve">(b)those portions of the Company's Definitive Proxy Statement on </w:t>
      </w:r>
      <w:hyperlink r:id="rId3">
        <w:r>
          <w:rPr>
            <w:rStyle w:val="InternetLink"/>
            <w:rFonts w:ascii="Arial;sans-serif" w:hAnsi="Arial;sans-serif"/>
            <w:b w:val="false"/>
            <w:color w:val="0000FF"/>
            <w:sz w:val="20"/>
            <w:u w:val="single"/>
          </w:rPr>
          <w:t>Schedule 14A</w:t>
        </w:r>
      </w:hyperlink>
      <w:r>
        <w:rPr>
          <w:color w:val="000000"/>
        </w:rPr>
        <w:t xml:space="preserve"> </w:t>
      </w:r>
      <w:r>
        <w:rPr>
          <w:rFonts w:ascii="Arial;sans-serif" w:hAnsi="Arial;sans-serif"/>
          <w:b w:val="false"/>
          <w:color w:val="000000"/>
          <w:sz w:val="20"/>
        </w:rPr>
        <w:t>for its 2026 Annual Meeting of Stockholders, filed with the Commission on April 22, 2026, that were specifically incorporated by reference into the Company's Annual Report on Form 10-K for the fiscal year January 30, 2026;</w:t>
      </w:r>
    </w:p>
    <w:p>
      <w:pPr>
        <w:pStyle w:val="TextBody"/>
        <w:bidi w:val="0"/>
        <w:spacing w:before="0" w:after="0"/>
        <w:ind w:left="0" w:right="0" w:firstLine="490"/>
        <w:jc w:val="left"/>
        <w:rPr/>
      </w:pPr>
      <w:r>
        <w:rPr/>
      </w:r>
    </w:p>
    <w:p>
      <w:pPr>
        <w:pStyle w:val="TextBody"/>
        <w:bidi w:val="0"/>
        <w:spacing w:lineRule="auto" w:line="247" w:before="0" w:after="0"/>
        <w:ind w:left="0" w:right="0" w:firstLine="130"/>
        <w:jc w:val="left"/>
        <w:rPr/>
      </w:pPr>
      <w:r>
        <w:rPr>
          <w:rFonts w:ascii="Arial;sans-serif" w:hAnsi="Arial;sans-serif"/>
          <w:b w:val="false"/>
          <w:color w:val="000000"/>
          <w:sz w:val="22"/>
        </w:rPr>
        <w:t>(c)</w:t>
      </w:r>
      <w:r>
        <w:rPr>
          <w:rFonts w:ascii="Arial;sans-serif" w:hAnsi="Arial;sans-serif"/>
          <w:b w:val="false"/>
          <w:color w:val="000000"/>
          <w:sz w:val="20"/>
        </w:rPr>
        <w:t xml:space="preserve">the Company’s Quarterly Reports on Form 10-Q for the quarters ending on May 1, 2026 and July 31, 2026, filed with the Commission on </w:t>
      </w:r>
      <w:hyperlink r:id="rId4">
        <w:r>
          <w:rPr>
            <w:rStyle w:val="InternetLink"/>
            <w:rFonts w:ascii="Arial;sans-serif" w:hAnsi="Arial;sans-serif"/>
            <w:b w:val="false"/>
            <w:color w:val="0000FF"/>
            <w:sz w:val="20"/>
            <w:u w:val="single"/>
          </w:rPr>
          <w:t>June 1, 2026</w:t>
        </w:r>
      </w:hyperlink>
      <w:r>
        <w:rPr>
          <w:color w:val="000000"/>
        </w:rPr>
        <w:t xml:space="preserve"> </w:t>
      </w:r>
      <w:r>
        <w:rPr>
          <w:rFonts w:ascii="Arial;sans-serif" w:hAnsi="Arial;sans-serif"/>
          <w:b w:val="false"/>
          <w:color w:val="000000"/>
          <w:sz w:val="20"/>
        </w:rPr>
        <w:t xml:space="preserve">and </w:t>
      </w:r>
      <w:hyperlink r:id="rId5">
        <w:r>
          <w:rPr>
            <w:rStyle w:val="InternetLink"/>
            <w:rFonts w:ascii="Arial;sans-serif" w:hAnsi="Arial;sans-serif"/>
            <w:b w:val="false"/>
            <w:color w:val="0000FF"/>
            <w:sz w:val="20"/>
            <w:u w:val="single"/>
          </w:rPr>
          <w:t>August 31, 2026</w:t>
        </w:r>
      </w:hyperlink>
      <w:r>
        <w:rPr>
          <w:color w:val="000000"/>
        </w:rPr>
        <w:t xml:space="preserve"> </w:t>
      </w:r>
      <w:r>
        <w:rPr>
          <w:rFonts w:ascii="Arial;sans-serif" w:hAnsi="Arial;sans-serif"/>
          <w:b w:val="false"/>
          <w:color w:val="000000"/>
          <w:sz w:val="20"/>
        </w:rPr>
        <w:t>respectively;</w:t>
      </w:r>
    </w:p>
    <w:p>
      <w:pPr>
        <w:pStyle w:val="TextBody"/>
        <w:bidi w:val="0"/>
        <w:spacing w:before="0" w:after="0"/>
        <w:ind w:left="0" w:right="0" w:firstLine="490"/>
        <w:jc w:val="left"/>
        <w:rPr/>
      </w:pPr>
      <w:r>
        <w:rPr/>
      </w:r>
    </w:p>
    <w:p>
      <w:pPr>
        <w:pStyle w:val="TextBody"/>
        <w:bidi w:val="0"/>
        <w:spacing w:lineRule="auto" w:line="288" w:before="0" w:after="0"/>
        <w:ind w:left="0" w:right="0" w:firstLine="130"/>
        <w:jc w:val="left"/>
        <w:rPr/>
      </w:pPr>
      <w:r>
        <w:rPr>
          <w:rFonts w:ascii="Arial;sans-serif" w:hAnsi="Arial;sans-serif"/>
          <w:b w:val="false"/>
          <w:color w:val="000000"/>
          <w:sz w:val="20"/>
        </w:rPr>
        <w:t xml:space="preserve">(d)the Company's Current Reports on Form 8-K filed (but not furnished) with the Commission on </w:t>
      </w:r>
      <w:hyperlink r:id="rId6">
        <w:r>
          <w:rPr>
            <w:rStyle w:val="InternetLink"/>
            <w:rFonts w:ascii="Arial;sans-serif" w:hAnsi="Arial;sans-serif"/>
            <w:b w:val="false"/>
            <w:color w:val="0000FF"/>
            <w:sz w:val="20"/>
            <w:u w:val="single"/>
          </w:rPr>
          <w:t>February 17, 2026</w:t>
        </w:r>
      </w:hyperlink>
      <w:r>
        <w:rPr>
          <w:rFonts w:ascii="Arial;sans-serif" w:hAnsi="Arial;sans-serif"/>
          <w:b w:val="false"/>
          <w:color w:val="000000"/>
          <w:sz w:val="20"/>
        </w:rPr>
        <w:t xml:space="preserve">, </w:t>
      </w:r>
      <w:hyperlink r:id="rId7">
        <w:r>
          <w:rPr>
            <w:rStyle w:val="InternetLink"/>
            <w:rFonts w:ascii="Arial;sans-serif" w:hAnsi="Arial;sans-serif"/>
            <w:b w:val="false"/>
            <w:color w:val="0000FF"/>
            <w:sz w:val="20"/>
            <w:u w:val="single"/>
          </w:rPr>
          <w:t>March 13, 2026</w:t>
        </w:r>
      </w:hyperlink>
      <w:r>
        <w:rPr>
          <w:rFonts w:ascii="Arial;sans-serif" w:hAnsi="Arial;sans-serif"/>
          <w:b w:val="false"/>
          <w:color w:val="000000"/>
          <w:sz w:val="20"/>
        </w:rPr>
        <w:t xml:space="preserve">, </w:t>
      </w:r>
      <w:hyperlink r:id="rId8">
        <w:r>
          <w:rPr>
            <w:rStyle w:val="InternetLink"/>
            <w:rFonts w:ascii="Arial;sans-serif" w:hAnsi="Arial;sans-serif"/>
            <w:b w:val="false"/>
            <w:color w:val="0000FF"/>
            <w:sz w:val="20"/>
            <w:u w:val="single"/>
          </w:rPr>
          <w:t>April 9, 2026</w:t>
        </w:r>
      </w:hyperlink>
      <w:r>
        <w:rPr>
          <w:color w:val="000000"/>
        </w:rPr>
        <w:t xml:space="preserve"> </w:t>
      </w:r>
      <w:r>
        <w:rPr>
          <w:rFonts w:ascii="Arial;sans-serif" w:hAnsi="Arial;sans-serif"/>
          <w:b w:val="false"/>
          <w:color w:val="000000"/>
          <w:sz w:val="20"/>
        </w:rPr>
        <w:t xml:space="preserve">(as amended on </w:t>
      </w:r>
      <w:hyperlink r:id="rId9">
        <w:r>
          <w:rPr>
            <w:rStyle w:val="InternetLink"/>
            <w:rFonts w:ascii="Arial;sans-serif" w:hAnsi="Arial;sans-serif"/>
            <w:b w:val="false"/>
            <w:color w:val="0000FF"/>
            <w:sz w:val="20"/>
            <w:u w:val="single"/>
          </w:rPr>
          <w:t>April 9, 2026</w:t>
        </w:r>
      </w:hyperlink>
      <w:r>
        <w:rPr>
          <w:rFonts w:ascii="Arial;sans-serif" w:hAnsi="Arial;sans-serif"/>
          <w:b w:val="false"/>
          <w:color w:val="000000"/>
          <w:sz w:val="20"/>
        </w:rPr>
        <w:t xml:space="preserve">), </w:t>
      </w:r>
      <w:hyperlink r:id="rId10">
        <w:r>
          <w:rPr>
            <w:rStyle w:val="InternetLink"/>
            <w:rFonts w:ascii="Arial;sans-serif" w:hAnsi="Arial;sans-serif"/>
            <w:b w:val="false"/>
            <w:color w:val="0000FF"/>
            <w:sz w:val="20"/>
            <w:u w:val="single"/>
          </w:rPr>
          <w:t>May 29, 2026</w:t>
        </w:r>
      </w:hyperlink>
      <w:r>
        <w:rPr>
          <w:rFonts w:ascii="Arial;sans-serif" w:hAnsi="Arial;sans-serif"/>
          <w:b w:val="false"/>
          <w:color w:val="000000"/>
          <w:sz w:val="20"/>
        </w:rPr>
        <w:t xml:space="preserve">, </w:t>
      </w:r>
      <w:hyperlink r:id="rId11">
        <w:r>
          <w:rPr>
            <w:rStyle w:val="InternetLink"/>
            <w:rFonts w:ascii="Arial;sans-serif" w:hAnsi="Arial;sans-serif"/>
            <w:b w:val="false"/>
            <w:color w:val="0000FF"/>
            <w:sz w:val="20"/>
            <w:u w:val="single"/>
          </w:rPr>
          <w:t>June 1, 2026</w:t>
        </w:r>
      </w:hyperlink>
      <w:r>
        <w:rPr>
          <w:rFonts w:ascii="Arial;sans-serif" w:hAnsi="Arial;sans-serif"/>
          <w:b w:val="false"/>
          <w:color w:val="000000"/>
          <w:sz w:val="20"/>
        </w:rPr>
        <w:t xml:space="preserve">, </w:t>
      </w:r>
      <w:hyperlink r:id="rId12">
        <w:r>
          <w:rPr>
            <w:rStyle w:val="InternetLink"/>
            <w:rFonts w:ascii="Arial;sans-serif" w:hAnsi="Arial;sans-serif"/>
            <w:b w:val="false"/>
            <w:color w:val="0000FF"/>
            <w:sz w:val="20"/>
            <w:u w:val="single"/>
          </w:rPr>
          <w:t>June 8, 2026</w:t>
        </w:r>
      </w:hyperlink>
      <w:r>
        <w:rPr>
          <w:rFonts w:ascii="Arial;sans-serif" w:hAnsi="Arial;sans-serif"/>
          <w:b w:val="false"/>
          <w:color w:val="000000"/>
          <w:sz w:val="20"/>
        </w:rPr>
        <w:t xml:space="preserve">, </w:t>
      </w:r>
      <w:hyperlink r:id="rId13">
        <w:r>
          <w:rPr>
            <w:rStyle w:val="InternetLink"/>
            <w:rFonts w:ascii="Arial;sans-serif" w:hAnsi="Arial;sans-serif"/>
            <w:b w:val="false"/>
            <w:color w:val="0000FF"/>
            <w:sz w:val="20"/>
            <w:u w:val="single"/>
          </w:rPr>
          <w:t>August 10, 2026</w:t>
        </w:r>
      </w:hyperlink>
      <w:r>
        <w:rPr>
          <w:rFonts w:ascii="Arial;sans-serif" w:hAnsi="Arial;sans-serif"/>
          <w:b w:val="false"/>
          <w:color w:val="000000"/>
          <w:sz w:val="20"/>
        </w:rPr>
        <w:t xml:space="preserve">, </w:t>
      </w:r>
      <w:hyperlink r:id="rId14">
        <w:r>
          <w:rPr>
            <w:rStyle w:val="InternetLink"/>
            <w:rFonts w:ascii="Arial;sans-serif" w:hAnsi="Arial;sans-serif"/>
            <w:b w:val="false"/>
            <w:color w:val="0000FF"/>
            <w:sz w:val="20"/>
            <w:u w:val="single"/>
          </w:rPr>
          <w:t>August 19, 2026</w:t>
        </w:r>
      </w:hyperlink>
      <w:r>
        <w:rPr>
          <w:rFonts w:ascii="Arial;sans-serif" w:hAnsi="Arial;sans-serif"/>
          <w:b w:val="false"/>
          <w:color w:val="000000"/>
          <w:sz w:val="20"/>
        </w:rPr>
        <w:t xml:space="preserve">, and </w:t>
      </w:r>
      <w:hyperlink r:id="rId15">
        <w:r>
          <w:rPr>
            <w:rStyle w:val="InternetLink"/>
            <w:rFonts w:ascii="Arial;sans-serif" w:hAnsi="Arial;sans-serif"/>
            <w:b w:val="false"/>
            <w:color w:val="0000FF"/>
            <w:sz w:val="20"/>
            <w:u w:val="single"/>
          </w:rPr>
          <w:t>August 28, 2026</w:t>
        </w:r>
      </w:hyperlink>
      <w:r>
        <w:rPr>
          <w:rFonts w:ascii="Arial;sans-serif" w:hAnsi="Arial;sans-serif"/>
          <w:b w:val="false"/>
          <w:color w:val="000000"/>
          <w:sz w:val="20"/>
        </w:rPr>
        <w:t>;</w:t>
      </w:r>
    </w:p>
    <w:p>
      <w:pPr>
        <w:pStyle w:val="TextBody"/>
        <w:bidi w:val="0"/>
        <w:ind w:left="0" w:right="0" w:firstLine="49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firstLine="130"/>
        <w:jc w:val="left"/>
        <w:rPr>
          <w:rFonts w:ascii="Arial;sans-serif" w:hAnsi="Arial;sans-serif"/>
          <w:b w:val="false"/>
          <w:color w:val="000000"/>
          <w:sz w:val="20"/>
        </w:rPr>
      </w:pPr>
      <w:r>
        <w:rPr>
          <w:rFonts w:ascii="Arial;sans-serif" w:hAnsi="Arial;sans-serif"/>
          <w:b w:val="false"/>
          <w:color w:val="000000"/>
          <w:sz w:val="20"/>
        </w:rPr>
        <w:t xml:space="preserve">(e)all other reports filed pursuant to Section 13(a) or 15(d) of the Securities Exchange Act of 1934, as amended (the “Exchange Act”) since the end of the fiscal year covered by the Annual Report referred to in (a) above (other than information deemed to have been “furnished” rather than “filed” in accordance with the Commission’s rules); and </w:t>
      </w:r>
    </w:p>
    <w:p>
      <w:pPr>
        <w:pStyle w:val="TextBody"/>
        <w:bidi w:val="0"/>
        <w:spacing w:before="0" w:after="0"/>
        <w:ind w:left="0" w:right="0" w:firstLine="490"/>
        <w:jc w:val="left"/>
        <w:rPr/>
      </w:pPr>
      <w:r>
        <w:rPr/>
      </w:r>
    </w:p>
    <w:p>
      <w:pPr>
        <w:pStyle w:val="TextBody"/>
        <w:bidi w:val="0"/>
        <w:spacing w:lineRule="auto" w:line="288" w:before="0" w:after="0"/>
        <w:ind w:left="0" w:right="0" w:firstLine="130"/>
        <w:jc w:val="left"/>
        <w:rPr>
          <w:rFonts w:ascii="Arial;sans-serif" w:hAnsi="Arial;sans-serif"/>
          <w:b w:val="false"/>
          <w:color w:val="000000"/>
          <w:sz w:val="20"/>
        </w:rPr>
      </w:pPr>
      <w:r>
        <w:rPr>
          <w:rFonts w:ascii="Arial;sans-serif" w:hAnsi="Arial;sans-serif"/>
          <w:b w:val="false"/>
          <w:color w:val="000000"/>
          <w:sz w:val="20"/>
        </w:rPr>
        <w:t xml:space="preserve">(f)the description of the Company’s Common Stock contained in the Company’s registration statement on </w:t>
      </w:r>
    </w:p>
    <w:p>
      <w:pPr>
        <w:pStyle w:val="TextBody"/>
        <w:bidi w:val="0"/>
        <w:spacing w:lineRule="auto" w:line="288" w:before="0" w:after="0"/>
        <w:ind w:left="0" w:right="0" w:firstLine="130"/>
        <w:jc w:val="left"/>
        <w:rPr/>
      </w:pPr>
      <w:hyperlink r:id="rId16">
        <w:r>
          <w:rPr>
            <w:rStyle w:val="InternetLink"/>
            <w:rFonts w:ascii="Arial;sans-serif" w:hAnsi="Arial;sans-serif"/>
            <w:b w:val="false"/>
            <w:color w:val="0000FF"/>
            <w:sz w:val="20"/>
            <w:u w:val="single"/>
          </w:rPr>
          <w:t>Form 10</w:t>
        </w:r>
      </w:hyperlink>
      <w:r>
        <w:rPr>
          <w:rFonts w:ascii="Arial;sans-serif" w:hAnsi="Arial;sans-serif"/>
          <w:b w:val="false"/>
          <w:color w:val="000000"/>
          <w:sz w:val="20"/>
        </w:rPr>
        <w:t xml:space="preserve">, filed with the Commission on March 7, 2013, as the description therein has been updated and superseded by the description of the Company’s Common Stock contained in </w:t>
      </w:r>
      <w:hyperlink r:id="rId17">
        <w:r>
          <w:rPr>
            <w:rStyle w:val="InternetLink"/>
            <w:rFonts w:ascii="Arial;sans-serif" w:hAnsi="Arial;sans-serif"/>
            <w:b w:val="false"/>
            <w:color w:val="0000FF"/>
            <w:sz w:val="20"/>
            <w:u w:val="single"/>
          </w:rPr>
          <w:t>Exhibit 4.1</w:t>
        </w:r>
      </w:hyperlink>
      <w:r>
        <w:rPr>
          <w:color w:val="000000"/>
        </w:rPr>
        <w:t xml:space="preserve"> </w:t>
      </w:r>
      <w:r>
        <w:rPr>
          <w:rFonts w:ascii="Arial;sans-serif" w:hAnsi="Arial;sans-serif"/>
          <w:b w:val="false"/>
          <w:color w:val="000000"/>
          <w:sz w:val="20"/>
        </w:rPr>
        <w:t xml:space="preserve">to the Company’s Annual Report on </w:t>
      </w:r>
      <w:hyperlink r:id="rId18">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for the fiscal year ended January 31, 2020, as filed with the Commission on March 27, 2020, and including any amendment or report filed for the purpose of updating such description.</w:t>
      </w:r>
    </w:p>
    <w:p>
      <w:pPr>
        <w:pStyle w:val="TextBody"/>
        <w:bidi w:val="0"/>
        <w:spacing w:before="0" w:after="0"/>
        <w:ind w:left="0" w:right="0" w:firstLine="13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In addition, all reports and other documents subsequently filed (but not furnished) by the Company pursuant to Sections 13(a), 13(c), 14 and 15(d) of the Exchange Act, prior to the filing of a post-effective amendment to this Registration Statement that indicates that all of the shares of Common Stock offered hereby have been sold or that deregisters all shares of the Common Stock then remaining unsold, shall be deemed to be incorporated by reference in and a part of this Registration Statement from the date of filing of such reports and documents; except as to any document, or portion of or exhibit to a document, that is “furnished” to (rather than “filed” with) the Commission.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Any statement contained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in this Registration Statement modifies or supersedes such statement. Any such statement so modified or superseded shall not be deemed, except as so modified or superseded, to constitute a part of this Registration Statement. </w:t>
      </w:r>
    </w:p>
    <w:p>
      <w:pPr>
        <w:pStyle w:val="TextBody"/>
        <w:bidi w:val="0"/>
        <w:spacing w:before="0" w:after="0"/>
        <w:ind w:left="0" w:right="0" w:firstLine="490"/>
        <w:jc w:val="left"/>
        <w:rPr/>
      </w:pPr>
      <w:r>
        <w:rPr/>
      </w:r>
    </w:p>
    <w:p>
      <w:pPr>
        <w:pStyle w:val="TextBody"/>
        <w:bidi w:val="0"/>
        <w:spacing w:before="20" w:after="283"/>
        <w:jc w:val="left"/>
        <w:rPr/>
      </w:pPr>
      <w:r>
        <w:rPr/>
      </w:r>
    </w:p>
    <w:p>
      <w:pPr>
        <w:pStyle w:val="TextBody"/>
        <w:bidi w:val="0"/>
        <w:spacing w:before="0" w:after="0"/>
        <w:ind w:left="0" w:right="0" w:firstLine="490"/>
        <w:jc w:val="left"/>
        <w:rPr/>
      </w:pPr>
      <w:r>
        <w:rPr/>
      </w:r>
    </w:p>
    <w:tbl>
      <w:tblPr>
        <w:tblW w:w="3254" w:type="dxa"/>
        <w:jc w:val="left"/>
        <w:tblInd w:w="0" w:type="dxa"/>
        <w:tblLayout w:type="fixed"/>
        <w:tblCellMar>
          <w:top w:w="28" w:type="dxa"/>
          <w:left w:w="28" w:type="dxa"/>
          <w:bottom w:w="28" w:type="dxa"/>
          <w:right w:w="28" w:type="dxa"/>
        </w:tblCellMar>
      </w:tblPr>
      <w:tblGrid>
        <w:gridCol w:w="271"/>
        <w:gridCol w:w="238"/>
        <w:gridCol w:w="241"/>
        <w:gridCol w:w="733"/>
        <w:gridCol w:w="733"/>
        <w:gridCol w:w="1038"/>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Description of Securities.</w:t>
            </w:r>
          </w:p>
        </w:tc>
      </w:tr>
    </w:tbl>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Not applicable. </w:t>
      </w:r>
    </w:p>
    <w:tbl>
      <w:tblPr>
        <w:tblW w:w="4695" w:type="dxa"/>
        <w:jc w:val="left"/>
        <w:tblInd w:w="0" w:type="dxa"/>
        <w:tblLayout w:type="fixed"/>
        <w:tblCellMar>
          <w:top w:w="28" w:type="dxa"/>
          <w:left w:w="28" w:type="dxa"/>
          <w:bottom w:w="28" w:type="dxa"/>
          <w:right w:w="28" w:type="dxa"/>
        </w:tblCellMar>
      </w:tblPr>
      <w:tblGrid>
        <w:gridCol w:w="271"/>
        <w:gridCol w:w="238"/>
        <w:gridCol w:w="241"/>
        <w:gridCol w:w="1152"/>
        <w:gridCol w:w="1152"/>
        <w:gridCol w:w="164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5.</w:t>
            </w:r>
          </w:p>
        </w:tc>
        <w:tc>
          <w:tcPr>
            <w:tcW w:w="39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Interests of Named Experts and Counsel.</w:t>
            </w:r>
          </w:p>
        </w:tc>
      </w:tr>
    </w:tbl>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Not applicable. </w:t>
      </w:r>
    </w:p>
    <w:tbl>
      <w:tblPr>
        <w:tblW w:w="4739" w:type="dxa"/>
        <w:jc w:val="left"/>
        <w:tblInd w:w="0" w:type="dxa"/>
        <w:tblLayout w:type="fixed"/>
        <w:tblCellMar>
          <w:top w:w="28" w:type="dxa"/>
          <w:left w:w="28" w:type="dxa"/>
          <w:bottom w:w="28" w:type="dxa"/>
          <w:right w:w="28" w:type="dxa"/>
        </w:tblCellMar>
      </w:tblPr>
      <w:tblGrid>
        <w:gridCol w:w="271"/>
        <w:gridCol w:w="238"/>
        <w:gridCol w:w="241"/>
        <w:gridCol w:w="1167"/>
        <w:gridCol w:w="1167"/>
        <w:gridCol w:w="165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6.</w:t>
            </w:r>
          </w:p>
        </w:tc>
        <w:tc>
          <w:tcPr>
            <w:tcW w:w="39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Indemnification of Directors and Officers.</w:t>
            </w:r>
          </w:p>
        </w:tc>
      </w:tr>
    </w:tbl>
    <w:p>
      <w:pPr>
        <w:pStyle w:val="TextBody"/>
        <w:bidi w:val="0"/>
        <w:spacing w:before="0" w:after="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Section 145 of the General Corporation Law of the State of Delaware (the “DGCL”) permits a Delaware corporation to indemnify its directors, officers, employees and agents, subject to certain limitations.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As permitted by the DGCL, the Company’s amended and restated certificate of incorporation includes a provision that eliminates the personal liability of the Company’s directors for monetary damages for breach of fiduciary duty as a director, except for liability (1) for any breach of the director’s duty of loyalty to the Company or its stockholders, (2) for acts or omissions not in good faith or that involve intentional misconduct or a knowing violation of law, (3) under Section 174 of the DGCL or (4) for any transaction from which the director derived an improper personal benefit.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As permitted by the DGCL, the Company’s amended and restated certificate of incorporation provides that (1) the Company shall indemnify its directors and officers to the fullest extent permitted by the DGCL, subject to certain limited exceptions, (2) the Company may indemnify its other employees and agents as set forth in the DGCL, (3) the Company is required to advance expenses, as incurred, to its directors and executive officers in connection with a legal proceeding to the fullest extent not prohibited by applicable law, subject to the receipt by the Company of an undertaking to repay such amounts to the extent required by law and (4) the rights conferred in the Company’s amended and restated certificate of incorporation are not exclusive.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Company has entered into indemnification agreements with each of its directors and executive officers to give such directors and officers additional contractual assurances regarding the scope of the indemnification set forth in the Company’s amended and restated certificate of incorporation and to provide additional procedural protections.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exculpation and indemnification provisions in the Company’s amended and restated certificate of incorporation and the indemnification provisions of indemnification agreements entered into between the Company and each of its directors and executive officers may be sufficiently broad to permit indemnification of the Company’s directors and executive officers for liabilities arising under the Securities Act. </w:t>
      </w:r>
    </w:p>
    <w:p>
      <w:pPr>
        <w:pStyle w:val="TextBody"/>
        <w:bidi w:val="0"/>
        <w:spacing w:before="0" w:after="0"/>
        <w:ind w:left="0" w:right="0" w:firstLine="490"/>
        <w:jc w:val="left"/>
        <w:rPr/>
      </w:pPr>
      <w:r>
        <w:rPr/>
      </w:r>
    </w:p>
    <w:p>
      <w:pPr>
        <w:pStyle w:val="TextBody"/>
        <w:bidi w:val="0"/>
        <w:spacing w:lineRule="auto" w:line="288"/>
        <w:ind w:left="0" w:right="0" w:firstLine="490"/>
        <w:jc w:val="left"/>
        <w:rPr>
          <w:rFonts w:ascii="Arial;sans-serif" w:hAnsi="Arial;sans-serif"/>
          <w:b w:val="false"/>
          <w:color w:val="000000"/>
          <w:sz w:val="20"/>
        </w:rPr>
      </w:pPr>
      <w:r>
        <w:rPr>
          <w:rFonts w:ascii="Arial;sans-serif" w:hAnsi="Arial;sans-serif"/>
          <w:b w:val="false"/>
          <w:color w:val="000000"/>
          <w:sz w:val="20"/>
        </w:rPr>
        <w:t xml:space="preserve">The Company also maintains director and officer liability insurance to insure its directors and officers against the cost of defense, the cost of settlement or payment of a judgment under certain circumstances.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490"/>
        <w:jc w:val="left"/>
        <w:rPr/>
      </w:pPr>
      <w:r>
        <w:rPr/>
      </w:r>
    </w:p>
    <w:tbl>
      <w:tblPr>
        <w:tblW w:w="4469" w:type="dxa"/>
        <w:jc w:val="left"/>
        <w:tblInd w:w="0" w:type="dxa"/>
        <w:tblLayout w:type="fixed"/>
        <w:tblCellMar>
          <w:top w:w="28" w:type="dxa"/>
          <w:left w:w="28" w:type="dxa"/>
          <w:bottom w:w="28" w:type="dxa"/>
          <w:right w:w="28" w:type="dxa"/>
        </w:tblCellMar>
      </w:tblPr>
      <w:tblGrid>
        <w:gridCol w:w="271"/>
        <w:gridCol w:w="238"/>
        <w:gridCol w:w="241"/>
        <w:gridCol w:w="1087"/>
        <w:gridCol w:w="1087"/>
        <w:gridCol w:w="1545"/>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7.</w:t>
            </w:r>
          </w:p>
        </w:tc>
        <w:tc>
          <w:tcPr>
            <w:tcW w:w="37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Exemption from Registration Claimed.</w:t>
            </w:r>
          </w:p>
        </w:tc>
      </w:tr>
    </w:tbl>
    <w:p>
      <w:pPr>
        <w:pStyle w:val="TextBody"/>
        <w:bidi w:val="0"/>
        <w:spacing w:lineRule="auto" w:line="26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Not applicable. </w:t>
      </w:r>
    </w:p>
    <w:p>
      <w:pPr>
        <w:pStyle w:val="TextBody"/>
        <w:bidi w:val="0"/>
        <w:spacing w:before="0" w:after="0"/>
        <w:ind w:left="0" w:right="0" w:firstLine="490"/>
        <w:jc w:val="left"/>
        <w:rPr/>
      </w:pPr>
      <w:r>
        <w:rPr/>
      </w:r>
    </w:p>
    <w:tbl>
      <w:tblPr>
        <w:tblW w:w="1726" w:type="dxa"/>
        <w:jc w:val="left"/>
        <w:tblInd w:w="0" w:type="dxa"/>
        <w:tblLayout w:type="fixed"/>
        <w:tblCellMar>
          <w:top w:w="28" w:type="dxa"/>
          <w:left w:w="28" w:type="dxa"/>
          <w:bottom w:w="28" w:type="dxa"/>
          <w:right w:w="28" w:type="dxa"/>
        </w:tblCellMar>
      </w:tblPr>
      <w:tblGrid>
        <w:gridCol w:w="271"/>
        <w:gridCol w:w="238"/>
        <w:gridCol w:w="241"/>
        <w:gridCol w:w="285"/>
        <w:gridCol w:w="285"/>
        <w:gridCol w:w="406"/>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8.</w:t>
            </w:r>
          </w:p>
        </w:tc>
        <w:tc>
          <w:tcPr>
            <w:tcW w:w="9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774"/>
        <w:gridCol w:w="2642"/>
        <w:gridCol w:w="371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Arial;sans-serif" w:hAnsi="Arial;sans-serif"/>
                  <w:b w:val="false"/>
                  <w:color w:val="2B4C9B"/>
                  <w:sz w:val="20"/>
                  <w:u w:val="single"/>
                </w:rPr>
                <w:t>Amended and Restated Certificate of Incorporation. Incorporated by reference to Exhibit 3.1 to the Company’s Current Report on Form 8-K as filed with the Commission on October 1, 2013.</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2B4C9B"/>
                  <w:sz w:val="20"/>
                  <w:u w:val="single"/>
                </w:rPr>
                <w:t>Amended and Restated Bylaws. Incorporated by reference to Exhibit 3.1 to the Company’s Current Report on Form 8-K as filed with the Commission on September 5, 2024.</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2B4C9B"/>
                  <w:sz w:val="20"/>
                  <w:u w:val="single"/>
                </w:rPr>
                <w:t>Science Applications International Corporation 2023 Equity Incentive Plan, effective June 7, 2023. Incorporated by reference to Exhibit 4.3 to the Company’s Registration Statement on Form S-8 (File No. 333-272484) as filed with the Commission on June 7, 2023.</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80"/>
                  <w:sz w:val="20"/>
                  <w:u w:val="single"/>
                </w:rPr>
                <w:t>First Amendment to the Science Applications International Corporation 2023 Equity Incentive Plan, effective March 5, 2024. Incorporated by reference as Exhibit 10.1 to the Company’s Quarterly Report on Form 10-Q as filed with the Commission on June 3, 2024</w:t>
              </w:r>
            </w:hyperlink>
            <w:hyperlink r:id="rId23">
              <w:r>
                <w:rPr>
                  <w:rStyle w:val="InternetLink"/>
                  <w:rFonts w:ascii="Arial;sans-serif" w:hAnsi="Arial;sans-serif"/>
                  <w:b w:val="false"/>
                  <w:color w:val="000080"/>
                  <w:sz w:val="20"/>
                  <w:u w:val="single"/>
                </w:rPr>
                <w:t>.</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2B4C9D"/>
                  <w:sz w:val="20"/>
                  <w:u w:val="single"/>
                </w:rPr>
                <w:t>Second Amendment to the Science Applications International Corporation 2023 Equity Incentive Plan, effective June 3, 2026. Incorporated by reference as Exhibit 10.3 to the Company’s Quarterly Report on Form 10-Q as filed with the Commission on August 31,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faegred.htm">
              <w:r>
                <w:rPr>
                  <w:rStyle w:val="InternetLink"/>
                  <w:rFonts w:ascii="Arial;sans-serif" w:hAnsi="Arial;sans-serif"/>
                  <w:b w:val="false"/>
                  <w:color w:val="2B4C9B"/>
                  <w:sz w:val="20"/>
                  <w:u w:val="single"/>
                </w:rPr>
                <w:t>Opinion of Faegre Drinker Biddle &amp; Reath LLP.</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ernsty.htm">
              <w:r>
                <w:rPr>
                  <w:rStyle w:val="InternetLink"/>
                  <w:rFonts w:ascii="Arial;sans-serif" w:hAnsi="Arial;sans-serif"/>
                  <w:b w:val="false"/>
                  <w:color w:val="2B4C9B"/>
                  <w:sz w:val="20"/>
                  <w:u w:val="single"/>
                </w:rPr>
                <w:t>Consent of Ernst &amp; Young LLP.</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20"/>
              </w:rPr>
            </w:pPr>
            <w:r>
              <w:rPr>
                <w:rFonts w:ascii="Arial;sans-serif" w:hAnsi="Arial;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opinionoffaegred.htm">
              <w:r>
                <w:rPr>
                  <w:rStyle w:val="InternetLink"/>
                  <w:rFonts w:ascii="Arial;sans-serif" w:hAnsi="Arial;sans-serif"/>
                  <w:b w:val="false"/>
                  <w:color w:val="2B4C9B"/>
                  <w:sz w:val="20"/>
                  <w:u w:val="single"/>
                </w:rPr>
                <w:t>Consent of Faegre Drinker Biddle &amp; Reath LLP (included in Exhibit 5.1).</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Arial;sans-serif" w:hAnsi="Arial;sans-serif"/>
                <w:b w:val="false"/>
                <w:color w:val="000000"/>
                <w:sz w:val="20"/>
              </w:rPr>
            </w:pPr>
            <w:r>
              <w:rPr>
                <w:rFonts w:ascii="Arial;sans-serif" w:hAnsi="Arial;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Power of Attorney (included on the signature page hereto).</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Arial;sans-serif" w:hAnsi="Arial;sans-serif"/>
                <w:b w:val="false"/>
                <w:color w:val="000000"/>
                <w:sz w:val="20"/>
              </w:rPr>
            </w:pPr>
            <w:r>
              <w:rPr>
                <w:rFonts w:ascii="Arial;sans-serif" w:hAnsi="Arial;sans-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Arial;sans-serif" w:hAnsi="Arial;sans-serif"/>
                  <w:b w:val="false"/>
                  <w:color w:val="2B4C9B"/>
                  <w:sz w:val="20"/>
                  <w:u w:val="single"/>
                </w:rPr>
                <w:t>Calculation of Filing Fee Table.</w:t>
              </w:r>
            </w:hyperlink>
          </w:p>
        </w:tc>
      </w:tr>
    </w:tbl>
    <w:p>
      <w:pPr>
        <w:pStyle w:val="TextBody"/>
        <w:bidi w:val="0"/>
        <w:spacing w:before="0" w:after="0"/>
        <w:jc w:val="left"/>
        <w:rPr/>
      </w:pPr>
      <w:r>
        <w:rPr/>
      </w:r>
    </w:p>
    <w:tbl>
      <w:tblPr>
        <w:tblW w:w="2191" w:type="dxa"/>
        <w:jc w:val="left"/>
        <w:tblInd w:w="0" w:type="dxa"/>
        <w:tblLayout w:type="fixed"/>
        <w:tblCellMar>
          <w:top w:w="28" w:type="dxa"/>
          <w:left w:w="28" w:type="dxa"/>
          <w:bottom w:w="28" w:type="dxa"/>
          <w:right w:w="28" w:type="dxa"/>
        </w:tblCellMar>
      </w:tblPr>
      <w:tblGrid>
        <w:gridCol w:w="271"/>
        <w:gridCol w:w="238"/>
        <w:gridCol w:w="241"/>
        <w:gridCol w:w="422"/>
        <w:gridCol w:w="422"/>
        <w:gridCol w:w="597"/>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Item 9.</w:t>
            </w:r>
          </w:p>
        </w:tc>
        <w:tc>
          <w:tcPr>
            <w:tcW w:w="144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Undertakings.</w:t>
            </w:r>
          </w:p>
        </w:tc>
      </w:tr>
    </w:tbl>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(a) The Company hereby undertakes: </w:t>
      </w:r>
    </w:p>
    <w:p>
      <w:pPr>
        <w:pStyle w:val="TextBody"/>
        <w:bidi w:val="0"/>
        <w:spacing w:before="0" w:after="0"/>
        <w:ind w:left="0" w:right="0" w:firstLine="490"/>
        <w:jc w:val="left"/>
        <w:rPr/>
      </w:pPr>
      <w:r>
        <w:rPr/>
      </w:r>
    </w:p>
    <w:p>
      <w:pPr>
        <w:pStyle w:val="TextBody"/>
        <w:bidi w:val="0"/>
        <w:spacing w:lineRule="auto" w:line="288" w:before="0" w:after="0"/>
        <w:ind w:left="0" w:right="0" w:firstLine="1102"/>
        <w:jc w:val="left"/>
        <w:rPr>
          <w:rFonts w:ascii="Arial;sans-serif" w:hAnsi="Arial;sans-serif"/>
          <w:b w:val="false"/>
          <w:color w:val="000000"/>
          <w:sz w:val="20"/>
        </w:rPr>
      </w:pPr>
      <w:r>
        <w:rPr>
          <w:rFonts w:ascii="Arial;sans-serif" w:hAnsi="Arial;sans-serif"/>
          <w:b w:val="false"/>
          <w:color w:val="000000"/>
          <w:sz w:val="20"/>
        </w:rPr>
        <w:t xml:space="preserve">(1) To file, during any period in which offers or sales are being made, a post-effective amendment to this Registration Statement: </w:t>
      </w:r>
    </w:p>
    <w:p>
      <w:pPr>
        <w:pStyle w:val="TextBody"/>
        <w:bidi w:val="0"/>
        <w:spacing w:before="0" w:after="0"/>
        <w:ind w:left="0" w:right="0" w:firstLine="1102"/>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 To include any prospectus required by Section 10(a)(3) of the Securities Act;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lineRule="auto" w:line="288" w:before="0" w:after="0"/>
        <w:jc w:val="left"/>
        <w:rPr/>
      </w:pPr>
      <w:r>
        <w:rPr>
          <w:rFonts w:ascii="Arial;sans-serif" w:hAnsi="Arial;sans-serif"/>
          <w:b w:val="false"/>
          <w:i/>
          <w:color w:val="000000"/>
          <w:sz w:val="20"/>
        </w:rPr>
        <w:t>provided, however</w:t>
      </w:r>
      <w:r>
        <w:rPr>
          <w:rFonts w:ascii="Arial;sans-serif" w:hAnsi="Arial;sans-serif"/>
          <w:b w:val="false"/>
          <w:color w:val="000000"/>
          <w:sz w:val="20"/>
        </w:rPr>
        <w:t xml:space="preserve">, that paragraphs (a)(1)(i) and (a)(1)(ii) above do not apply if the Registration Statement is on Form S-8, and the information required to be included in a post-effective amendment by those paragraphs is contained in reports filed with or furnished to the Commission by the Company pursuant to Section 13 or Section 15(d) of the Exchange Act that are incorporated by reference in this Registration Statement; </w:t>
      </w:r>
    </w:p>
    <w:p>
      <w:pPr>
        <w:pStyle w:val="TextBody"/>
        <w:bidi w:val="0"/>
        <w:spacing w:before="0" w:after="0"/>
        <w:jc w:val="left"/>
        <w:rPr/>
      </w:pPr>
      <w:r>
        <w:rPr/>
      </w:r>
    </w:p>
    <w:p>
      <w:pPr>
        <w:pStyle w:val="TextBody"/>
        <w:bidi w:val="0"/>
        <w:spacing w:lineRule="auto" w:line="288"/>
        <w:ind w:left="0" w:right="0" w:firstLine="1102"/>
        <w:jc w:val="left"/>
        <w:rPr>
          <w:rFonts w:ascii="Arial;sans-serif" w:hAnsi="Arial;sans-serif"/>
          <w:b w:val="false"/>
          <w:color w:val="000000"/>
          <w:sz w:val="20"/>
        </w:rPr>
      </w:pPr>
      <w:r>
        <w:rPr>
          <w:rFonts w:ascii="Arial;sans-serif" w:hAnsi="Arial;sans-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1102"/>
        <w:jc w:val="left"/>
        <w:rPr/>
      </w:pPr>
      <w:r>
        <w:rPr/>
      </w:r>
    </w:p>
    <w:p>
      <w:pPr>
        <w:pStyle w:val="TextBody"/>
        <w:bidi w:val="0"/>
        <w:spacing w:lineRule="auto" w:line="288" w:before="0" w:after="0"/>
        <w:ind w:left="0" w:right="0" w:firstLine="1102"/>
        <w:jc w:val="left"/>
        <w:rPr>
          <w:rFonts w:ascii="Arial;sans-serif" w:hAnsi="Arial;sans-serif"/>
          <w:b w:val="false"/>
          <w:color w:val="000000"/>
          <w:sz w:val="20"/>
        </w:rPr>
      </w:pPr>
      <w:r>
        <w:rPr>
          <w:rFonts w:ascii="Arial;sans-serif" w:hAnsi="Arial;sans-serif"/>
          <w:b w:val="false"/>
          <w:color w:val="000000"/>
          <w:sz w:val="20"/>
        </w:rPr>
        <w:t xml:space="preserve">(3) To remove from registration by means of a post-effective amendment any of the securities being registered which remain unsold at the termination of the offering. </w:t>
      </w:r>
    </w:p>
    <w:p>
      <w:pPr>
        <w:pStyle w:val="TextBody"/>
        <w:bidi w:val="0"/>
        <w:spacing w:before="0" w:after="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(b) The Company hereby undertakes that, for purposes of determining any liability under the Securities Act, each filing of the Company’s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0" w:after="0"/>
        <w:ind w:left="0" w:right="0" w:firstLine="490"/>
        <w:jc w:val="left"/>
        <w:rPr/>
      </w:pPr>
      <w:r>
        <w:rPr/>
      </w:r>
    </w:p>
    <w:p>
      <w:pPr>
        <w:pStyle w:val="TextBody"/>
        <w:bidi w:val="0"/>
        <w:spacing w:lineRule="auto" w:line="288" w:before="0" w:after="0"/>
        <w:ind w:left="0" w:right="0" w:firstLine="490"/>
        <w:jc w:val="left"/>
        <w:rPr>
          <w:rFonts w:ascii="Arial;sans-serif" w:hAnsi="Arial;sans-serif"/>
          <w:b w:val="false"/>
          <w:color w:val="000000"/>
          <w:sz w:val="20"/>
        </w:rPr>
      </w:pPr>
      <w:r>
        <w:rPr>
          <w:rFonts w:ascii="Arial;sans-serif" w:hAnsi="Arial;sans-serif"/>
          <w:b w:val="false"/>
          <w:color w:val="000000"/>
          <w:sz w:val="20"/>
        </w:rPr>
        <w:t xml:space="preserve">(c) 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Reston, Commonwealth of Virginia, on August 31, 2026. </w:t>
      </w:r>
    </w:p>
    <w:p>
      <w:pPr>
        <w:pStyle w:val="TextBody"/>
        <w:bidi w:val="0"/>
        <w:spacing w:before="200" w:after="283"/>
        <w:jc w:val="left"/>
        <w:rPr/>
      </w:pPr>
      <w:r>
        <w:rPr/>
      </w:r>
    </w:p>
    <w:tbl>
      <w:tblPr>
        <w:tblW w:w="4165" w:type="dxa"/>
        <w:jc w:val="right"/>
        <w:tblInd w:w="0" w:type="dxa"/>
        <w:tblLayout w:type="fixed"/>
        <w:tblCellMar>
          <w:top w:w="28" w:type="dxa"/>
          <w:left w:w="28" w:type="dxa"/>
          <w:bottom w:w="28" w:type="dxa"/>
          <w:right w:w="28" w:type="dxa"/>
        </w:tblCellMar>
      </w:tblPr>
      <w:tblGrid>
        <w:gridCol w:w="494"/>
        <w:gridCol w:w="433"/>
        <w:gridCol w:w="433"/>
        <w:gridCol w:w="433"/>
        <w:gridCol w:w="433"/>
        <w:gridCol w:w="433"/>
        <w:gridCol w:w="433"/>
        <w:gridCol w:w="433"/>
        <w:gridCol w:w="640"/>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8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Prabu Natarajan</w:t>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Prabu Natarajan</w:t>
            </w:r>
          </w:p>
          <w:p>
            <w:pPr>
              <w:pStyle w:val="TableContents"/>
              <w:bidi w:val="0"/>
              <w:spacing w:lineRule="auto" w:line="240" w:before="0" w:after="0"/>
              <w:jc w:val="center"/>
              <w:rPr>
                <w:rFonts w:ascii="Arial;sans-serif" w:hAnsi="Arial;sans-serif"/>
                <w:b/>
                <w:i/>
                <w:color w:val="000000"/>
                <w:sz w:val="16"/>
              </w:rPr>
            </w:pPr>
            <w:r>
              <w:rPr>
                <w:rFonts w:ascii="Arial;sans-serif" w:hAnsi="Arial;sans-serif"/>
                <w:b/>
                <w:i/>
                <w:color w:val="000000"/>
                <w:sz w:val="16"/>
              </w:rPr>
              <w:t>Chief Financial Officer</w:t>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 xml:space="preserve">Dated: August 31,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POWER OF ATTORNEY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person whose signature to this Registration Statement appears below hereby constitutes and appoints James C. Reagan, Prabu Natarajan and Hilary L. Hageman, and each of them, his, her or their true and lawful attorney-in-fact and agent, each with full power of substitution and resubstitution, for him, her or their and in his, her or their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she or they might or could do in person, hereby ratifying and confirming all that each of said attorneys-in-fact and agents or their substitute or substitutes may lawfully do or cause to be done by virtue hereof.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Act of 1933, this Registration Statement has been signed by the following persons in the capacities indicated on August 31, 2026.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838" w:type="dxa"/>
        <w:jc w:val="left"/>
        <w:tblInd w:w="0" w:type="dxa"/>
        <w:tblLayout w:type="fixed"/>
        <w:tblCellMar>
          <w:top w:w="28" w:type="dxa"/>
          <w:left w:w="28" w:type="dxa"/>
          <w:bottom w:w="28" w:type="dxa"/>
          <w:right w:w="28" w:type="dxa"/>
        </w:tblCellMar>
      </w:tblPr>
      <w:tblGrid>
        <w:gridCol w:w="873"/>
        <w:gridCol w:w="767"/>
        <w:gridCol w:w="775"/>
        <w:gridCol w:w="109"/>
        <w:gridCol w:w="109"/>
        <w:gridCol w:w="109"/>
        <w:gridCol w:w="1090"/>
        <w:gridCol w:w="1090"/>
        <w:gridCol w:w="1105"/>
        <w:gridCol w:w="109"/>
        <w:gridCol w:w="109"/>
        <w:gridCol w:w="109"/>
        <w:gridCol w:w="432"/>
        <w:gridCol w:w="432"/>
        <w:gridCol w:w="620"/>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u w:val="single"/>
              </w:rPr>
            </w:pPr>
            <w:r>
              <w:rPr>
                <w:rFonts w:ascii="Arial;sans-serif" w:hAnsi="Arial;sans-serif"/>
                <w:b/>
                <w:color w:val="000000"/>
                <w:sz w:val="18"/>
                <w:u w:val="single"/>
              </w:rPr>
              <w:t>Date</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James C. Reagan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James C. Reagan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Prabu Natarajan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Principal Financial Officer and</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Prabu Natarajan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Donna S. Morea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Donna S. Morea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David C. Benson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David C. Benson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C. David Cush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 David Cush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Paul Eremenko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Paul Eremenko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Carolyn B. Handlon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Carolyn B. Handlon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Katharina G.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Katharina G.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Milford W. McGuirt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Milford W. McGuirt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Michael S.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Michael S.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Steven R. Shane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Steven R. Shane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John K. Tien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John K. Tien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David J. Urban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31, 2026</w:t>
            </w:r>
          </w:p>
        </w:tc>
      </w:tr>
      <w:tr>
        <w:trPr/>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David J. Urban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 w:after="283"/>
        <w:ind w:left="0" w:right="0" w:hanging="360"/>
        <w:jc w:val="left"/>
        <w:rPr/>
      </w:pPr>
      <w:r>
        <w:rPr/>
      </w:r>
    </w:p>
    <w:p>
      <w:pPr>
        <w:pStyle w:val="TextBody"/>
        <w:bidi w:val="0"/>
        <w:spacing w:before="20" w:after="283"/>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107.1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Calculation of Filing Fee Tables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S-8</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Science Applications International Corporation</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1: Newly Registered Securities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27"/>
        <w:gridCol w:w="288"/>
        <w:gridCol w:w="289"/>
        <w:gridCol w:w="418"/>
        <w:gridCol w:w="331"/>
        <w:gridCol w:w="332"/>
        <w:gridCol w:w="401"/>
        <w:gridCol w:w="401"/>
        <w:gridCol w:w="403"/>
        <w:gridCol w:w="657"/>
        <w:gridCol w:w="377"/>
        <w:gridCol w:w="378"/>
        <w:gridCol w:w="232"/>
        <w:gridCol w:w="942"/>
        <w:gridCol w:w="120"/>
        <w:gridCol w:w="215"/>
        <w:gridCol w:w="1534"/>
        <w:gridCol w:w="111"/>
        <w:gridCol w:w="334"/>
        <w:gridCol w:w="334"/>
        <w:gridCol w:w="338"/>
        <w:gridCol w:w="218"/>
        <w:gridCol w:w="1057"/>
        <w:gridCol w:w="168"/>
      </w:tblGrid>
      <w:tr>
        <w:trPr/>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Security Type</w:t>
            </w:r>
          </w:p>
        </w:tc>
        <w:tc>
          <w:tcPr>
            <w:tcW w:w="108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Security Class Title</w:t>
            </w:r>
          </w:p>
        </w:tc>
        <w:tc>
          <w:tcPr>
            <w:tcW w:w="120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Fee Calculation Rule</w:t>
            </w:r>
          </w:p>
        </w:tc>
        <w:tc>
          <w:tcPr>
            <w:tcW w:w="14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Amount Registered </w:t>
            </w:r>
            <w:r>
              <w:rPr>
                <w:rFonts w:ascii="Arial;sans-serif" w:hAnsi="Arial;sans-serif"/>
                <w:b/>
                <w:color w:val="000000"/>
                <w:sz w:val="12"/>
              </w:rPr>
              <w:t>(1)</w:t>
            </w:r>
          </w:p>
        </w:tc>
        <w:tc>
          <w:tcPr>
            <w:tcW w:w="12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9"/>
              </w:rPr>
              <w:t xml:space="preserve">Proposed Maximum Offering Price Per Unit </w:t>
            </w:r>
            <w:r>
              <w:rPr>
                <w:rFonts w:ascii="Arial;sans-serif" w:hAnsi="Arial;sans-serif"/>
                <w:b/>
                <w:color w:val="000000"/>
                <w:sz w:val="12"/>
              </w:rPr>
              <w:t>(2)</w:t>
            </w:r>
          </w:p>
        </w:tc>
        <w:tc>
          <w:tcPr>
            <w:tcW w:w="1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 xml:space="preserve">Maximum Aggregate Offering </w:t>
            </w:r>
          </w:p>
          <w:p>
            <w:pPr>
              <w:pStyle w:val="TableContents"/>
              <w:bidi w:val="0"/>
              <w:spacing w:lineRule="auto" w:line="240" w:before="0" w:after="0"/>
              <w:jc w:val="left"/>
              <w:rPr/>
            </w:pPr>
            <w:r>
              <w:rPr>
                <w:rFonts w:ascii="Arial;sans-serif" w:hAnsi="Arial;sans-serif"/>
                <w:b/>
                <w:color w:val="000000"/>
                <w:sz w:val="19"/>
              </w:rPr>
              <w:t xml:space="preserve">Price </w:t>
            </w:r>
            <w:r>
              <w:rPr>
                <w:rFonts w:ascii="Arial;sans-serif" w:hAnsi="Arial;sans-serif"/>
                <w:b/>
                <w:color w:val="000000"/>
                <w:sz w:val="12"/>
              </w:rPr>
              <w:t>(2)</w:t>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Fee Rate</w:t>
            </w:r>
          </w:p>
        </w:tc>
        <w:tc>
          <w:tcPr>
            <w:tcW w:w="144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Amount of Registration Fee</w:t>
            </w:r>
          </w:p>
        </w:tc>
      </w:tr>
      <w:tr>
        <w:trPr/>
        <w:tc>
          <w:tcPr>
            <w:tcW w:w="9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Equity</w:t>
            </w:r>
          </w:p>
        </w:tc>
        <w:tc>
          <w:tcPr>
            <w:tcW w:w="108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Common Stock, par value $0.0001 per share</w:t>
            </w:r>
          </w:p>
        </w:tc>
        <w:tc>
          <w:tcPr>
            <w:tcW w:w="120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Rule 457(c) and Rule 457(h)</w:t>
            </w:r>
          </w:p>
        </w:tc>
        <w:tc>
          <w:tcPr>
            <w:tcW w:w="1034"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1,088,000 </w:t>
            </w:r>
          </w:p>
        </w:tc>
        <w:tc>
          <w:tcPr>
            <w:tcW w:w="37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9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127.035 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138,214,080.00 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0.0001381</w:t>
            </w:r>
          </w:p>
        </w:tc>
        <w:tc>
          <w:tcPr>
            <w:tcW w:w="21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19,087.36 </w:t>
            </w:r>
          </w:p>
        </w:tc>
        <w:tc>
          <w:tcPr>
            <w:tcW w:w="168"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02" w:type="dxa"/>
            <w:gridSpan w:val="1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9"/>
              </w:rPr>
            </w:pPr>
            <w:r>
              <w:rPr>
                <w:rFonts w:ascii="Arial;sans-serif" w:hAnsi="Arial;sans-serif"/>
                <w:b/>
                <w:color w:val="000000"/>
                <w:sz w:val="19"/>
              </w:rPr>
              <w:t>Total Offering Amounts</w:t>
            </w:r>
          </w:p>
        </w:tc>
        <w:tc>
          <w:tcPr>
            <w:tcW w:w="129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138,214,080.00 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19,087.36 </w:t>
            </w:r>
          </w:p>
        </w:tc>
        <w:tc>
          <w:tcPr>
            <w:tcW w:w="168"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02"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9"/>
              </w:rPr>
            </w:pPr>
            <w:r>
              <w:rPr>
                <w:rFonts w:ascii="Arial;sans-serif" w:hAnsi="Arial;sans-serif"/>
                <w:b/>
                <w:color w:val="000000"/>
                <w:sz w:val="19"/>
              </w:rPr>
              <w:t>Total Fee Offsets</w:t>
            </w:r>
          </w:p>
        </w:tc>
        <w:tc>
          <w:tcPr>
            <w:tcW w:w="129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602"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Arial;sans-serif" w:hAnsi="Arial;sans-serif"/>
                <w:b/>
                <w:color w:val="000000"/>
                <w:sz w:val="19"/>
              </w:rPr>
            </w:pPr>
            <w:r>
              <w:rPr>
                <w:rFonts w:ascii="Arial;sans-serif" w:hAnsi="Arial;sans-serif"/>
                <w:b/>
                <w:color w:val="000000"/>
                <w:sz w:val="19"/>
              </w:rPr>
              <w:t>Net Fee Due</w:t>
            </w:r>
          </w:p>
        </w:tc>
        <w:tc>
          <w:tcPr>
            <w:tcW w:w="129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19,087.36 </w:t>
            </w:r>
          </w:p>
        </w:tc>
        <w:tc>
          <w:tcPr>
            <w:tcW w:w="168" w:type="dxa"/>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This registration statement shall also cover any additional shares of common stock, par value $0.0001 per share (the “Common Stock”), of the registrant which become issuable with respect to the shares of Common Stock registered hereunder for issuance under the Science Applications International Corporation 2023 Equity Incentive Plan, as amended, by reason of any stock dividend, stock split, recapitalization or other similar transaction effected without the registrant’s receipt of consideration which results in an increase in the number of the outstanding shares of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Estimated solely for purposes of calculating the registration fee, pursuant to Rule 457(c) and Rule 457(h), based on the average of the high and low sale prices per share of Common Stock on August 26, 2026, as reported on The Nasdaq Stock Market LLC.</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 xml:space="preserve">Exhibit 5.1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drawing>
          <wp:inline distT="0" distB="0" distL="0" distR="0">
            <wp:extent cx="5943600" cy="10382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5"/>
                    <a:stretch>
                      <a:fillRect/>
                    </a:stretch>
                  </pic:blipFill>
                  <pic:spPr bwMode="auto">
                    <a:xfrm>
                      <a:off x="0" y="0"/>
                      <a:ext cx="5943600" cy="1038225"/>
                    </a:xfrm>
                    <a:prstGeom prst="rect">
                      <a:avLst/>
                    </a:prstGeom>
                  </pic:spPr>
                </pic:pic>
              </a:graphicData>
            </a:graphic>
          </wp:inline>
        </w:drawing>
      </w:r>
    </w:p>
    <w:p>
      <w:pPr>
        <w:pStyle w:val="TextBody"/>
        <w:bidi w:val="0"/>
        <w:spacing w:before="0" w:after="0"/>
        <w:jc w:val="left"/>
        <w:rPr/>
      </w:pPr>
      <w:r>
        <w:rPr/>
      </w: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Faegre Drinker Biddle &amp; Reath LLP</w:t>
      </w:r>
    </w:p>
    <w:p>
      <w:pPr>
        <w:pStyle w:val="TextBody"/>
        <w:bidi w:val="0"/>
        <w:spacing w:lineRule="auto" w:line="268" w:before="0" w:after="0"/>
        <w:ind w:left="0" w:right="0" w:firstLine="1090"/>
        <w:jc w:val="right"/>
        <w:rPr>
          <w:rFonts w:ascii="Times New Roman;serif" w:hAnsi="Times New Roman;serif"/>
          <w:b w:val="false"/>
          <w:color w:val="000000"/>
          <w:sz w:val="20"/>
        </w:rPr>
      </w:pPr>
      <w:r>
        <w:rPr>
          <w:rFonts w:ascii="Times New Roman;serif" w:hAnsi="Times New Roman;serif"/>
          <w:b w:val="false"/>
          <w:color w:val="000000"/>
          <w:sz w:val="20"/>
        </w:rPr>
        <w:t>2200 Wells Fargo Center</w:t>
      </w:r>
    </w:p>
    <w:p>
      <w:pPr>
        <w:pStyle w:val="TextBody"/>
        <w:bidi w:val="0"/>
        <w:spacing w:lineRule="auto" w:line="268" w:before="0" w:after="0"/>
        <w:ind w:left="0" w:right="0" w:firstLine="1090"/>
        <w:jc w:val="right"/>
        <w:rPr>
          <w:rFonts w:ascii="Times New Roman;serif" w:hAnsi="Times New Roman;serif"/>
          <w:b w:val="false"/>
          <w:color w:val="000000"/>
          <w:sz w:val="20"/>
        </w:rPr>
      </w:pPr>
      <w:r>
        <w:rPr>
          <w:rFonts w:ascii="Times New Roman;serif" w:hAnsi="Times New Roman;serif"/>
          <w:b w:val="false"/>
          <w:color w:val="000000"/>
          <w:sz w:val="20"/>
        </w:rPr>
        <w:t>90 South Seventh Street</w:t>
      </w:r>
    </w:p>
    <w:p>
      <w:pPr>
        <w:pStyle w:val="TextBody"/>
        <w:bidi w:val="0"/>
        <w:spacing w:lineRule="auto" w:line="268" w:before="0" w:after="0"/>
        <w:ind w:left="0" w:right="0" w:firstLine="1090"/>
        <w:jc w:val="right"/>
        <w:rPr>
          <w:rFonts w:ascii="Times New Roman;serif" w:hAnsi="Times New Roman;serif"/>
          <w:b w:val="false"/>
          <w:color w:val="000000"/>
          <w:sz w:val="20"/>
        </w:rPr>
      </w:pPr>
      <w:r>
        <w:rPr>
          <w:rFonts w:ascii="Times New Roman;serif" w:hAnsi="Times New Roman;serif"/>
          <w:b w:val="false"/>
          <w:color w:val="000000"/>
          <w:sz w:val="20"/>
        </w:rPr>
        <w:t>Minneapolis, Minnesota 55402</w:t>
      </w:r>
    </w:p>
    <w:p>
      <w:pPr>
        <w:pStyle w:val="TextBody"/>
        <w:bidi w:val="0"/>
        <w:spacing w:lineRule="auto" w:line="268" w:before="0" w:after="0"/>
        <w:ind w:left="0" w:right="0" w:firstLine="1090"/>
        <w:jc w:val="right"/>
        <w:rPr>
          <w:rFonts w:ascii="Times New Roman;serif" w:hAnsi="Times New Roman;serif"/>
          <w:b w:val="false"/>
          <w:color w:val="000000"/>
          <w:sz w:val="20"/>
        </w:rPr>
      </w:pPr>
      <w:r>
        <w:rPr>
          <w:rFonts w:ascii="Times New Roman;serif" w:hAnsi="Times New Roman;serif"/>
          <w:b w:val="false"/>
          <w:color w:val="000000"/>
          <w:sz w:val="20"/>
        </w:rPr>
        <w:t>+1 612 766 7000 main</w:t>
      </w:r>
    </w:p>
    <w:p>
      <w:pPr>
        <w:pStyle w:val="TextBody"/>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+1 612 766 1600 fax</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31,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Board of Directors of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Science Applications International Corporation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12010 Sunset Hills Road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Reston, Virginia 20190</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Ladies and Gentlemen: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acted as counsel to Science Applications International Corporation, a Delaware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1,088,000 shares of the Company’s common stock, par value $0.0001 per share (the “Shares”), issuable by the Company pursuant to the Science Applications International Corporation 2023 Equity Incentive Plan (the “Plan”).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this opinion letter, we have examined the Plan, the Registration Statement, the amended and restated certificate of incorporation of the Company, as currently in effect, the amended and restated bylaws of the Company, as currently in effect, and the resolutions of the Company’s board of directors authorizing the issuance of the Shares. We have also examined a certificate of the Secretary of the Company dated the date hereof (the “Certificate”) and originals, or copies certified or otherwise authenticated to our satisfaction, of such corporate records and other records, agreements, instruments, certificates of public officials and documents as we have deemed necessary as a basis for the opinions hereinafter expressed and have reviewed such matters of law as we have deemed relevant hereto. As to facts material to this opinion letter, we have relied upon certificates, statements or representations of public officials, of officers and representatives of the Company (including the Certificate) and of others, without any independent verification thereof.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our examination, we have assumed: (i) the legal capacity of all natural persons; (ii) the genuineness of all signatures, including electronic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agreements, documents, instruments, certificates and records we have reviewed; and (vii) the absence of any undisclosed modifications to the agreements and instruments reviewed by us.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and subject to the foregoing and the other qualifications, assumptions and limitations set forth herein, it is our opinion that all necessary corporate action on the part of the Company has been taken to authorize the issuance and sale of the Shares to be issued in accordance with the Plan and that, when issued and sold as contemplated in the Registration Statement and in accordance with the Plan and any applicable award agreement and, where applicable, the consideration for the Shares specified in the Plan and any applicable award agreement has been received by the Company, the Shares will be validly issued, fully paid and nonassessable.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express no opinion concerning the laws of any jurisdiction other than, subject to the limitations and assumptions contained herein, the General Corporation Law of the State of Delaware.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opinion letter speaks only as of the date the Registration Statement becomes effective under the Act, and we assume no obligation to revise or supplement this opinion letter thereafter. This opinion letter is limited to the specific issues addressed herein, and no opinion may be inferred or implied beyond that expressly stated herein.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filing of this opinion letter as an exhibit to the Registration Statement. In giving such consent, we do not thereby admit that we are within the category of persons whose consent is required under Section 7 of the Act or the rules and regulations of the Commission thereunder. </w:t>
      </w:r>
    </w:p>
    <w:tbl>
      <w:tblPr>
        <w:tblW w:w="3838" w:type="dxa"/>
        <w:jc w:val="left"/>
        <w:tblInd w:w="0" w:type="dxa"/>
        <w:tblLayout w:type="fixed"/>
        <w:tblCellMar>
          <w:top w:w="28" w:type="dxa"/>
          <w:left w:w="28" w:type="dxa"/>
          <w:bottom w:w="28" w:type="dxa"/>
          <w:right w:w="28" w:type="dxa"/>
        </w:tblCellMar>
      </w:tblPr>
      <w:tblGrid>
        <w:gridCol w:w="456"/>
        <w:gridCol w:w="402"/>
        <w:gridCol w:w="402"/>
        <w:gridCol w:w="402"/>
        <w:gridCol w:w="402"/>
        <w:gridCol w:w="402"/>
        <w:gridCol w:w="402"/>
        <w:gridCol w:w="402"/>
        <w:gridCol w:w="568"/>
      </w:tblGrid>
      <w:tr>
        <w:trPr/>
        <w:tc>
          <w:tcPr>
            <w:tcW w:w="4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38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Faegre Drinker Biddle &amp; Reath LLP</w:t>
            </w:r>
          </w:p>
        </w:tc>
      </w:tr>
      <w:tr>
        <w:trPr/>
        <w:tc>
          <w:tcPr>
            <w:tcW w:w="383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9"/>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FAEGRE DRINKER BIDDLE &amp; REATH LLP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center"/>
        <w:rPr>
          <w:rFonts w:ascii="Times New Roman;serif" w:hAnsi="Times New Roman;serif"/>
          <w:b/>
          <w:color w:val="333333"/>
          <w:sz w:val="20"/>
        </w:rPr>
      </w:pPr>
      <w:r>
        <w:rPr>
          <w:rFonts w:ascii="Times New Roman;serif" w:hAnsi="Times New Roman;serif"/>
          <w:b/>
          <w:color w:val="333333"/>
          <w:sz w:val="20"/>
        </w:rPr>
        <w:t>Consent of Independent Registered Public Accounting Firm</w:t>
      </w:r>
    </w:p>
    <w:p>
      <w:pPr>
        <w:pStyle w:val="TextBody"/>
        <w:bidi w:val="0"/>
        <w:spacing w:before="0" w:after="0"/>
        <w:jc w:val="center"/>
        <w:rPr/>
      </w:pPr>
      <w:r>
        <w:rPr/>
      </w:r>
    </w:p>
    <w:p>
      <w:pPr>
        <w:pStyle w:val="TextBody"/>
        <w:bidi w:val="0"/>
        <w:spacing w:lineRule="auto" w:line="360"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 (Form S-8) pertaining to the 2023 Equity Incentive Plan of Science Applications International Corporation of our reports dated March 16, 2026, with respect to the consolidated financial statements of Science Applications International Corporation and the effectiveness of internal control over financial reporting of Science Applications International Corporation included in its Annual Report (Form 10-K) for the year ended January 30, 2026, filed with the Securities and Exchange Commission.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Tysons, VA</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August 31, 2026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71123/000157112326000029/saic-20260130.htm" TargetMode="External"/><Relationship Id="rId3" Type="http://schemas.openxmlformats.org/officeDocument/2006/relationships/hyperlink" Target="https://www.sec.gov/ix?doc=/Archives/edgar/data/1571123/000157112326000069/saic-20260422.htm" TargetMode="External"/><Relationship Id="rId4" Type="http://schemas.openxmlformats.org/officeDocument/2006/relationships/hyperlink" Target="https://www.sec.gov/Archives/edgar/data/1571123/000157112326000079/saic-20260501.htm" TargetMode="External"/><Relationship Id="rId5" Type="http://schemas.openxmlformats.org/officeDocument/2006/relationships/hyperlink" Target="https://www.sec.gov/ix?doc=/Archives/edgar/data/1571123/000157112326000133/saic-20260731.htm" TargetMode="External"/><Relationship Id="rId6" Type="http://schemas.openxmlformats.org/officeDocument/2006/relationships/hyperlink" Target="https://www.sec.gov/ix?doc=/Archives/edgar/data/0001571123/000119312526053003/d93127d8k.htm" TargetMode="External"/><Relationship Id="rId7" Type="http://schemas.openxmlformats.org/officeDocument/2006/relationships/hyperlink" Target="https://www.sec.gov/ix?doc=/Archives/edgar/data/0001571123/000157112326000023/saic-20260312.htm" TargetMode="External"/><Relationship Id="rId8" Type="http://schemas.openxmlformats.org/officeDocument/2006/relationships/hyperlink" Target="https://www.sec.gov/ix?doc=/Archives/edgar/data/0001571123/000119312526148919/d128305d8k.htm" TargetMode="External"/><Relationship Id="rId9" Type="http://schemas.openxmlformats.org/officeDocument/2006/relationships/hyperlink" Target="https://www.sec.gov/ix?doc=/Archives/edgar/data/0001571123/000119312526149403/d147644d8ka.htm" TargetMode="External"/><Relationship Id="rId10" Type="http://schemas.openxmlformats.org/officeDocument/2006/relationships/hyperlink" Target="https://www.sec.gov/ix?doc=/Archives/edgar/data/1571123/000157112326000074/saic-20260528.htm" TargetMode="External"/><Relationship Id="rId11" Type="http://schemas.openxmlformats.org/officeDocument/2006/relationships/hyperlink" Target="https://www.sec.gov/ix?doc=/Archives/edgar/data/1571123/000119312526249675/d147967d8k.htm" TargetMode="External"/><Relationship Id="rId12" Type="http://schemas.openxmlformats.org/officeDocument/2006/relationships/hyperlink" Target="https://www.sec.gov/ix?doc=/Archives/edgar/data/1571123/000157112326000113/saic-20260603.htm" TargetMode="External"/><Relationship Id="rId13" Type="http://schemas.openxmlformats.org/officeDocument/2006/relationships/hyperlink" Target="https://www.sec.gov/ix?doc=/Archives/edgar/data/1571123/000119312526341188/d104119d8k.htm" TargetMode="External"/><Relationship Id="rId14" Type="http://schemas.openxmlformats.org/officeDocument/2006/relationships/hyperlink" Target="https://www.sec.gov/Archives/edgar/data/1571123/000157112326000123/saic-20260814.htm" TargetMode="External"/><Relationship Id="rId15" Type="http://schemas.openxmlformats.org/officeDocument/2006/relationships/hyperlink" Target="https://www.sec.gov/ix?doc=/Archives/edgar/data/1571123/000157112326000129/saic-20260827.htm" TargetMode="External"/><Relationship Id="rId16" Type="http://schemas.openxmlformats.org/officeDocument/2006/relationships/hyperlink" Target="https://www.sec.gov/Archives/edgar/data/1571123/000119312513095961/d491894d1012b.htm" TargetMode="External"/><Relationship Id="rId17" Type="http://schemas.openxmlformats.org/officeDocument/2006/relationships/hyperlink" Target="https://www.sec.gov/ix?doc=/Archives/edgar/data/0001571123/000157112320000013/saic2020-01x3110xk.htm" TargetMode="External"/><Relationship Id="rId18" Type="http://schemas.openxmlformats.org/officeDocument/2006/relationships/hyperlink" Target="https://www.sec.gov/ix?doc=/Archives/edgar/data/0001571123/000157112320000013/saic2020-01x3110xk.htm" TargetMode="External"/><Relationship Id="rId19" Type="http://schemas.openxmlformats.org/officeDocument/2006/relationships/hyperlink" Target="https://www.sec.gov/Archives/edgar/data/1571123/000119312513387316/d605504dex31.htm" TargetMode="External"/><Relationship Id="rId20" Type="http://schemas.openxmlformats.org/officeDocument/2006/relationships/hyperlink" Target="https://www.sec.gov/Archives/edgar/data/1571123/000157112324000128/saic8k09052024-exhibit31.htm" TargetMode="External"/><Relationship Id="rId21" Type="http://schemas.openxmlformats.org/officeDocument/2006/relationships/hyperlink" Target="https://www.sec.gov/Archives/edgar/data/1571123/000119312523162526/d506184dex43.htm" TargetMode="External"/><Relationship Id="rId22" Type="http://schemas.openxmlformats.org/officeDocument/2006/relationships/hyperlink" Target="https://www.sec.gov/Archives/edgar/data/1571123/000157112324000086/saicexhibit1010503202410q.htm" TargetMode="External"/><Relationship Id="rId23" Type="http://schemas.openxmlformats.org/officeDocument/2006/relationships/hyperlink" Target="https://www.sec.gov/Archives/edgar/data/1571123/000157112324000086/saicexhibit1010503202410q.htm" TargetMode="External"/><Relationship Id="rId24" Type="http://schemas.openxmlformats.org/officeDocument/2006/relationships/hyperlink" Target="https://www.sec.gov/Archives/edgar/data/1571123/000157112326000133/saicfy27q210-qexhibit103.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3732</Words>
  <Characters>20553</Characters>
  <CharactersWithSpaces>24144</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